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B01" w:rsidRPr="00FA36AB" w:rsidRDefault="00C63B7E" w:rsidP="00FA36AB">
      <w:pPr>
        <w:pStyle w:val="Nzev"/>
        <w:contextualSpacing w:val="0"/>
        <w:jc w:val="center"/>
        <w:rPr>
          <w:b/>
          <w:color w:val="0070C0"/>
          <w:sz w:val="36"/>
          <w:szCs w:val="36"/>
        </w:rPr>
      </w:pPr>
      <w:bookmarkStart w:id="0" w:name="_gjdgxs" w:colFirst="0" w:colLast="0"/>
      <w:bookmarkStart w:id="1" w:name="_GoBack"/>
      <w:bookmarkEnd w:id="0"/>
      <w:bookmarkEnd w:id="1"/>
      <w:r w:rsidRPr="00FA36AB">
        <w:rPr>
          <w:b/>
          <w:color w:val="0070C0"/>
          <w:sz w:val="36"/>
          <w:szCs w:val="36"/>
        </w:rPr>
        <w:t>Zadání pro aktualizaci Národní politiky výzkumu, vývoje a inovací České republiky na léta 2016 – 2020</w:t>
      </w:r>
    </w:p>
    <w:p w:rsidR="00A97B01" w:rsidRDefault="00C63B7E" w:rsidP="00FA36AB">
      <w:pPr>
        <w:pStyle w:val="Nadpis1"/>
        <w:numPr>
          <w:ilvl w:val="0"/>
          <w:numId w:val="1"/>
        </w:numPr>
        <w:spacing w:after="120"/>
        <w:ind w:left="431" w:hanging="431"/>
        <w:jc w:val="both"/>
      </w:pPr>
      <w:bookmarkStart w:id="2" w:name="_30j0zll" w:colFirst="0" w:colLast="0"/>
      <w:bookmarkEnd w:id="2"/>
      <w:r>
        <w:t>Východiska aktualizace</w:t>
      </w:r>
    </w:p>
    <w:p w:rsidR="00A97B01" w:rsidRDefault="00C63B7E">
      <w:pPr>
        <w:spacing w:after="120"/>
        <w:jc w:val="both"/>
      </w:pPr>
      <w:r>
        <w:t>Usnesením ze dne 17. února 2016 č. 135 k Národní politice výzkumu, vývoje a inovací na</w:t>
      </w:r>
      <w:r w:rsidR="00FA36AB">
        <w:t> </w:t>
      </w:r>
      <w:r>
        <w:t xml:space="preserve">léta 2016 – 2020 (dále jen („NP </w:t>
      </w:r>
      <w:proofErr w:type="spellStart"/>
      <w:r>
        <w:t>VaVaI</w:t>
      </w:r>
      <w:proofErr w:type="spellEnd"/>
      <w:r>
        <w:t xml:space="preserve">“) uložila vláda předsedovi Rady předložit vládě zprávu o hodnocení plnění opatření NP </w:t>
      </w:r>
      <w:proofErr w:type="spellStart"/>
      <w:r>
        <w:t>VaVaI</w:t>
      </w:r>
      <w:proofErr w:type="spellEnd"/>
      <w:r>
        <w:t xml:space="preserve"> do 31. prosince 2018 a aktualizovanou NP </w:t>
      </w:r>
      <w:proofErr w:type="spellStart"/>
      <w:r>
        <w:t>VaVaI</w:t>
      </w:r>
      <w:proofErr w:type="spellEnd"/>
      <w:r>
        <w:t xml:space="preserve"> do 31. prosince 2020.</w:t>
      </w:r>
    </w:p>
    <w:p w:rsidR="00A97B01" w:rsidRDefault="00C63B7E">
      <w:pPr>
        <w:spacing w:after="120"/>
        <w:jc w:val="both"/>
      </w:pPr>
      <w:r>
        <w:t xml:space="preserve">Úkol aktualizovat NP </w:t>
      </w:r>
      <w:proofErr w:type="spellStart"/>
      <w:r>
        <w:t>VaVaI</w:t>
      </w:r>
      <w:proofErr w:type="spellEnd"/>
      <w:r>
        <w:t xml:space="preserve"> byl schválen na jednání Rady pro výzkum, vývoj a inovace jako bod 332/A1 dne 2. února 2018. Harmonogram aktualizace NP </w:t>
      </w:r>
      <w:proofErr w:type="spellStart"/>
      <w:r>
        <w:t>VaVaI</w:t>
      </w:r>
      <w:proofErr w:type="spellEnd"/>
      <w:r>
        <w:t xml:space="preserve"> byl schválen předsednictvem Rady dne 9. února 2018.</w:t>
      </w:r>
    </w:p>
    <w:p w:rsidR="00A97B01" w:rsidRDefault="00C63B7E" w:rsidP="00FA36AB">
      <w:pPr>
        <w:pStyle w:val="Nadpis2"/>
        <w:numPr>
          <w:ilvl w:val="1"/>
          <w:numId w:val="1"/>
        </w:numPr>
        <w:spacing w:after="120"/>
        <w:ind w:left="578" w:hanging="578"/>
        <w:jc w:val="both"/>
      </w:pPr>
      <w:r>
        <w:t>Národní politika výzkumu, vývoje a inovací na léta 2016 – 2020</w:t>
      </w:r>
    </w:p>
    <w:p w:rsidR="00A97B01" w:rsidRDefault="00C63B7E">
      <w:pPr>
        <w:spacing w:after="120"/>
        <w:jc w:val="both"/>
      </w:pPr>
      <w:r>
        <w:t xml:space="preserve">Platná NP </w:t>
      </w:r>
      <w:proofErr w:type="spellStart"/>
      <w:r>
        <w:t>VaVaI</w:t>
      </w:r>
      <w:proofErr w:type="spellEnd"/>
      <w:r>
        <w:t xml:space="preserve"> má 5 </w:t>
      </w:r>
      <w:r w:rsidR="001A189E">
        <w:t xml:space="preserve">strategických </w:t>
      </w:r>
      <w:r>
        <w:t>cílů, dělených na řadu cílů</w:t>
      </w:r>
      <w:r w:rsidR="001A189E">
        <w:t xml:space="preserve"> specifických</w:t>
      </w:r>
      <w:r>
        <w:t>.</w:t>
      </w:r>
    </w:p>
    <w:p w:rsidR="00A97B01" w:rsidRDefault="00C63B7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20"/>
        <w:jc w:val="both"/>
        <w:rPr>
          <w:b/>
        </w:rPr>
      </w:pPr>
      <w:r>
        <w:rPr>
          <w:b/>
        </w:rPr>
        <w:t>S výjimkou strategického cíle 1, jehož hlavní náplní bylo zřídit nové ministerstvo pro výzkum, zůstanou strategické cíle 2 až 5 nadále aktuální až do roku 2020.</w:t>
      </w:r>
    </w:p>
    <w:p w:rsidR="00A97B01" w:rsidRDefault="00C63B7E">
      <w:pPr>
        <w:spacing w:after="120"/>
        <w:jc w:val="both"/>
      </w:pPr>
      <w:r>
        <w:t xml:space="preserve">Strategické cíle NP </w:t>
      </w:r>
      <w:proofErr w:type="spellStart"/>
      <w:r>
        <w:t>VaVaI</w:t>
      </w:r>
      <w:proofErr w:type="spellEnd"/>
      <w:r>
        <w:t xml:space="preserve"> jsou uvedeny v příloze 1.</w:t>
      </w:r>
    </w:p>
    <w:p w:rsidR="00A97B01" w:rsidRDefault="00C63B7E" w:rsidP="00FA36AB">
      <w:pPr>
        <w:pStyle w:val="Nadpis2"/>
        <w:numPr>
          <w:ilvl w:val="1"/>
          <w:numId w:val="1"/>
        </w:numPr>
        <w:spacing w:after="120"/>
        <w:ind w:left="578" w:hanging="578"/>
        <w:jc w:val="both"/>
      </w:pPr>
      <w:proofErr w:type="spellStart"/>
      <w:r>
        <w:t>European</w:t>
      </w:r>
      <w:proofErr w:type="spellEnd"/>
      <w:r>
        <w:t xml:space="preserve"> </w:t>
      </w:r>
      <w:proofErr w:type="spellStart"/>
      <w:r>
        <w:t>Innovation</w:t>
      </w:r>
      <w:proofErr w:type="spellEnd"/>
      <w:r>
        <w:t xml:space="preserve"> </w:t>
      </w:r>
      <w:proofErr w:type="spellStart"/>
      <w:r>
        <w:t>Scoreboard</w:t>
      </w:r>
      <w:proofErr w:type="spellEnd"/>
      <w:r>
        <w:t xml:space="preserve"> 2017</w:t>
      </w:r>
    </w:p>
    <w:p w:rsidR="00A97B01" w:rsidRDefault="00C63B7E">
      <w:pPr>
        <w:spacing w:after="120"/>
        <w:jc w:val="both"/>
      </w:pPr>
      <w:r>
        <w:t xml:space="preserve">Podle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Innovation</w:t>
      </w:r>
      <w:proofErr w:type="spellEnd"/>
      <w:r>
        <w:t xml:space="preserve"> </w:t>
      </w:r>
      <w:proofErr w:type="spellStart"/>
      <w:r>
        <w:t>Scoreboard</w:t>
      </w:r>
      <w:proofErr w:type="spellEnd"/>
      <w:r>
        <w:t xml:space="preserve"> 2017 náleží Česká republika do skupiny “</w:t>
      </w:r>
      <w:proofErr w:type="spellStart"/>
      <w:r>
        <w:t>moderate</w:t>
      </w:r>
      <w:proofErr w:type="spellEnd"/>
      <w:r>
        <w:t xml:space="preserve"> </w:t>
      </w:r>
      <w:proofErr w:type="spellStart"/>
      <w:r>
        <w:t>innovators</w:t>
      </w:r>
      <w:proofErr w:type="spellEnd"/>
      <w:r>
        <w:t>”.</w:t>
      </w:r>
      <w:r>
        <w:rPr>
          <w:vertAlign w:val="superscript"/>
        </w:rPr>
        <w:footnoteReference w:id="1"/>
      </w:r>
      <w:r>
        <w:t xml:space="preserve"> </w:t>
      </w:r>
    </w:p>
    <w:p w:rsidR="00A97B01" w:rsidRDefault="00C63B7E">
      <w:pPr>
        <w:spacing w:after="120"/>
        <w:jc w:val="both"/>
      </w:pPr>
      <w:r>
        <w:t>Z obrázku č. 1 vyplývá, že Česká republika je nejlepší z této skupiny. Od vyšší skupiny „</w:t>
      </w:r>
      <w:proofErr w:type="spellStart"/>
      <w:r>
        <w:t>strong</w:t>
      </w:r>
      <w:proofErr w:type="spellEnd"/>
      <w:r>
        <w:t xml:space="preserve"> </w:t>
      </w:r>
      <w:proofErr w:type="spellStart"/>
      <w:r>
        <w:t>innovators</w:t>
      </w:r>
      <w:proofErr w:type="spellEnd"/>
      <w:r>
        <w:t xml:space="preserve">“ ji dělí pouze </w:t>
      </w:r>
      <w:r w:rsidR="00107305">
        <w:t>velmi málo</w:t>
      </w:r>
      <w:r>
        <w:t>.</w:t>
      </w:r>
    </w:p>
    <w:p w:rsidR="00A97B01" w:rsidRDefault="00C63B7E">
      <w:pPr>
        <w:jc w:val="both"/>
      </w:pPr>
      <w:r>
        <w:rPr>
          <w:noProof/>
        </w:rPr>
        <w:lastRenderedPageBreak/>
        <w:drawing>
          <wp:inline distT="0" distB="0" distL="0" distR="0">
            <wp:extent cx="5543204" cy="3451671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43204" cy="345167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97B01" w:rsidRDefault="00C63B7E">
      <w:pPr>
        <w:spacing w:after="120"/>
        <w:jc w:val="both"/>
      </w:pPr>
      <w:r>
        <w:t>Podle 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Innovation</w:t>
      </w:r>
      <w:proofErr w:type="spellEnd"/>
      <w:r>
        <w:t xml:space="preserve"> </w:t>
      </w:r>
      <w:proofErr w:type="spellStart"/>
      <w:r>
        <w:t>Scoreboard</w:t>
      </w:r>
      <w:proofErr w:type="spellEnd"/>
      <w:r>
        <w:t xml:space="preserve"> se </w:t>
      </w:r>
      <w:r>
        <w:rPr>
          <w:b/>
          <w:i/>
          <w:color w:val="4F81BD"/>
        </w:rPr>
        <w:t xml:space="preserve">souhrnný </w:t>
      </w:r>
      <w:r w:rsidR="005536D0">
        <w:rPr>
          <w:b/>
          <w:i/>
          <w:color w:val="4F81BD"/>
        </w:rPr>
        <w:t>i</w:t>
      </w:r>
      <w:r>
        <w:rPr>
          <w:b/>
          <w:i/>
          <w:color w:val="4F81BD"/>
        </w:rPr>
        <w:t>novační index České republiky mezi roky 2010 a 2016 zhoršil o 3,5 %</w:t>
      </w:r>
      <w:r>
        <w:t>. Zatím se neprojevily účinky masivních investic do</w:t>
      </w:r>
      <w:r w:rsidR="00FA36AB">
        <w:t> </w:t>
      </w:r>
      <w:r>
        <w:t xml:space="preserve">nových kapacit </w:t>
      </w:r>
      <w:proofErr w:type="spellStart"/>
      <w:r>
        <w:t>VaVaI</w:t>
      </w:r>
      <w:proofErr w:type="spellEnd"/>
      <w:r>
        <w:t xml:space="preserve"> v posledních letech.</w:t>
      </w:r>
    </w:p>
    <w:p w:rsidR="00A97B01" w:rsidRDefault="00C63B7E">
      <w:pPr>
        <w:spacing w:after="1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Obrázek 2: Vývoj složeného inovačního indikátoru v letech 2010 až 2016</w:t>
      </w:r>
      <w:r>
        <w:rPr>
          <w:b/>
          <w:sz w:val="20"/>
          <w:szCs w:val="20"/>
          <w:vertAlign w:val="superscript"/>
        </w:rPr>
        <w:footnoteReference w:id="2"/>
      </w:r>
    </w:p>
    <w:p w:rsidR="00A97B01" w:rsidRDefault="00C63B7E">
      <w:pPr>
        <w:jc w:val="center"/>
      </w:pPr>
      <w:r>
        <w:rPr>
          <w:noProof/>
        </w:rPr>
        <w:drawing>
          <wp:inline distT="0" distB="0" distL="0" distR="0">
            <wp:extent cx="4572000" cy="2743200"/>
            <wp:effectExtent l="0" t="0" r="0" b="0"/>
            <wp:docPr id="3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74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97B01" w:rsidRDefault="00C63B7E">
      <w:pPr>
        <w:spacing w:after="120" w:line="240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Tabulka 1 - Vývoj souhrnného inovačního indikátoru celého systému ve výzkumu, vývoji a</w:t>
      </w:r>
      <w:r w:rsidR="00FA36AB">
        <w:rPr>
          <w:b/>
          <w:sz w:val="20"/>
          <w:szCs w:val="20"/>
        </w:rPr>
        <w:t> </w:t>
      </w:r>
      <w:r>
        <w:rPr>
          <w:b/>
          <w:sz w:val="20"/>
          <w:szCs w:val="20"/>
        </w:rPr>
        <w:t>inovacích v letech 2010 – 2016 k průměru EU v roce 2010 + hodnoty indexu 2010/2016</w:t>
      </w:r>
      <w:r>
        <w:rPr>
          <w:b/>
          <w:sz w:val="20"/>
          <w:szCs w:val="20"/>
          <w:vertAlign w:val="superscript"/>
        </w:rPr>
        <w:footnoteReference w:id="3"/>
      </w:r>
    </w:p>
    <w:tbl>
      <w:tblPr>
        <w:tblStyle w:val="a"/>
        <w:tblW w:w="464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693"/>
      </w:tblGrid>
      <w:tr w:rsidR="00A97B01" w:rsidTr="00A97B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auto"/>
          </w:tcPr>
          <w:p w:rsidR="00A97B01" w:rsidRDefault="00C63B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Země</w:t>
            </w:r>
          </w:p>
        </w:tc>
        <w:tc>
          <w:tcPr>
            <w:tcW w:w="2693" w:type="dxa"/>
            <w:shd w:val="clear" w:color="auto" w:fill="auto"/>
          </w:tcPr>
          <w:p w:rsidR="00A97B01" w:rsidRDefault="00C63B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Změna</w:t>
            </w:r>
          </w:p>
        </w:tc>
      </w:tr>
      <w:tr w:rsidR="00A97B01" w:rsidTr="00A97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auto"/>
          </w:tcPr>
          <w:p w:rsidR="00A97B01" w:rsidRDefault="00C63B7E">
            <w:pPr>
              <w:rPr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Belgie</w:t>
            </w:r>
          </w:p>
        </w:tc>
        <w:tc>
          <w:tcPr>
            <w:tcW w:w="2693" w:type="dxa"/>
            <w:shd w:val="clear" w:color="auto" w:fill="auto"/>
          </w:tcPr>
          <w:p w:rsidR="00A97B01" w:rsidRDefault="00C63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Nárůst o 1,4 % (120/121)</w:t>
            </w:r>
          </w:p>
        </w:tc>
      </w:tr>
      <w:tr w:rsidR="00A97B01" w:rsidTr="00A97B01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auto"/>
          </w:tcPr>
          <w:p w:rsidR="00A97B01" w:rsidRDefault="00C63B7E">
            <w:pPr>
              <w:rPr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Rakousko</w:t>
            </w:r>
          </w:p>
        </w:tc>
        <w:tc>
          <w:tcPr>
            <w:tcW w:w="2693" w:type="dxa"/>
            <w:shd w:val="clear" w:color="auto" w:fill="auto"/>
          </w:tcPr>
          <w:p w:rsidR="00A97B01" w:rsidRDefault="00C63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Nárůst o 8,9 % (113/121)</w:t>
            </w:r>
          </w:p>
        </w:tc>
      </w:tr>
      <w:tr w:rsidR="00A97B01" w:rsidTr="00A97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shd w:val="clear" w:color="auto" w:fill="auto"/>
          </w:tcPr>
          <w:p w:rsidR="00A97B01" w:rsidRDefault="00C63B7E">
            <w:pPr>
              <w:rPr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ČR</w:t>
            </w:r>
          </w:p>
        </w:tc>
        <w:tc>
          <w:tcPr>
            <w:tcW w:w="2693" w:type="dxa"/>
            <w:shd w:val="clear" w:color="auto" w:fill="auto"/>
          </w:tcPr>
          <w:p w:rsidR="00A97B01" w:rsidRDefault="00C63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Pokles o </w:t>
            </w:r>
            <w:r>
              <w:rPr>
                <w:color w:val="FF0000"/>
                <w:sz w:val="18"/>
                <w:szCs w:val="18"/>
              </w:rPr>
              <w:t>3,5 %</w:t>
            </w:r>
            <w:r>
              <w:rPr>
                <w:sz w:val="18"/>
                <w:szCs w:val="18"/>
              </w:rPr>
              <w:t xml:space="preserve"> (88/84)</w:t>
            </w:r>
          </w:p>
        </w:tc>
      </w:tr>
    </w:tbl>
    <w:p w:rsidR="00A97B01" w:rsidRDefault="00A97B01"/>
    <w:p w:rsidR="00A97B01" w:rsidRDefault="00C63B7E">
      <w:pPr>
        <w:spacing w:after="120"/>
        <w:jc w:val="both"/>
      </w:pPr>
      <w:r>
        <w:lastRenderedPageBreak/>
        <w:t>V celkovém výkonu zůstává ČR pod průměrem EU, i když v mnoha ohledech je možné vysledovat vzestupnou tendenci, která však stále nedovoluje zařadit ČR mezi „</w:t>
      </w:r>
      <w:proofErr w:type="spellStart"/>
      <w:r>
        <w:t>strong</w:t>
      </w:r>
      <w:proofErr w:type="spellEnd"/>
      <w:r>
        <w:t xml:space="preserve"> </w:t>
      </w:r>
      <w:proofErr w:type="spellStart"/>
      <w:r>
        <w:t>innovators</w:t>
      </w:r>
      <w:proofErr w:type="spellEnd"/>
      <w:r>
        <w:t>“. Výsledky, které jsou k dispozici, ještě nezahrnují dopad nově implementovaných nástrojů jako je Metodika 2017+, Programy TA ČR cílící na propojení mezi veřejnou a</w:t>
      </w:r>
      <w:r w:rsidR="00FA36AB">
        <w:t> </w:t>
      </w:r>
      <w:r>
        <w:t>soukromou sférou, Akční plán pro rozvoj lidských zdrojů a genderové rovnosti ve výzkumu, vývoji a inovacích v ČR na léta 2018 až 2020</w:t>
      </w:r>
      <w:r w:rsidR="001A189E">
        <w:t xml:space="preserve"> atd</w:t>
      </w:r>
      <w:r>
        <w:t>.</w:t>
      </w:r>
    </w:p>
    <w:p w:rsidR="006C2A10" w:rsidRDefault="006C2A10" w:rsidP="00FA36AB">
      <w:pPr>
        <w:pStyle w:val="Nadpis2"/>
        <w:numPr>
          <w:ilvl w:val="1"/>
          <w:numId w:val="1"/>
        </w:numPr>
        <w:spacing w:after="120"/>
        <w:ind w:left="578" w:hanging="578"/>
        <w:jc w:val="both"/>
      </w:pPr>
      <w:proofErr w:type="spellStart"/>
      <w:r>
        <w:t>European</w:t>
      </w:r>
      <w:proofErr w:type="spellEnd"/>
      <w:r>
        <w:t xml:space="preserve"> </w:t>
      </w:r>
      <w:proofErr w:type="spellStart"/>
      <w:r>
        <w:t>Semester</w:t>
      </w:r>
      <w:proofErr w:type="spellEnd"/>
      <w:r>
        <w:t xml:space="preserve">: </w:t>
      </w:r>
      <w:proofErr w:type="spellStart"/>
      <w:r>
        <w:t>Commission’s</w:t>
      </w:r>
      <w:proofErr w:type="spellEnd"/>
      <w:r>
        <w:t xml:space="preserve"> </w:t>
      </w:r>
      <w:proofErr w:type="spellStart"/>
      <w:r>
        <w:t>Diagnosis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Czech R</w:t>
      </w:r>
      <w:r w:rsidRPr="006C2A10">
        <w:t>&amp;</w:t>
      </w:r>
      <w:r>
        <w:t xml:space="preserve">D </w:t>
      </w:r>
      <w:proofErr w:type="spellStart"/>
      <w:r>
        <w:t>System</w:t>
      </w:r>
      <w:proofErr w:type="spellEnd"/>
    </w:p>
    <w:p w:rsidR="006C2A10" w:rsidRDefault="006C2A10">
      <w:pPr>
        <w:spacing w:after="120"/>
        <w:jc w:val="both"/>
      </w:pPr>
      <w:r>
        <w:t xml:space="preserve">Evropská komise upozorňuje </w:t>
      </w:r>
      <w:r w:rsidR="001A189E">
        <w:t>v</w:t>
      </w:r>
      <w:r>
        <w:t xml:space="preserve"> </w:t>
      </w:r>
      <w:r w:rsidR="001A189E">
        <w:t xml:space="preserve">aktuální analýze </w:t>
      </w:r>
      <w:r>
        <w:t>z ledna 2018</w:t>
      </w:r>
      <w:r w:rsidR="00C63B7E">
        <w:rPr>
          <w:rStyle w:val="Znakapoznpodarou"/>
        </w:rPr>
        <w:footnoteReference w:id="4"/>
      </w:r>
      <w:r>
        <w:t xml:space="preserve"> na tři okruhy problémů, jejichž řešení je pro další rozvoj důležité:</w:t>
      </w:r>
    </w:p>
    <w:p w:rsidR="006C2A10" w:rsidRDefault="006C2A10" w:rsidP="006C2A10">
      <w:pPr>
        <w:pStyle w:val="Odstavecseseznamem"/>
        <w:numPr>
          <w:ilvl w:val="0"/>
          <w:numId w:val="5"/>
        </w:numPr>
        <w:spacing w:after="120"/>
        <w:jc w:val="both"/>
      </w:pPr>
      <w:r>
        <w:t>Nedostatek vysoce kvalifikovaných odborníků,</w:t>
      </w:r>
    </w:p>
    <w:p w:rsidR="006C2A10" w:rsidRDefault="006C2A10" w:rsidP="006C2A10">
      <w:pPr>
        <w:pStyle w:val="Odstavecseseznamem"/>
        <w:numPr>
          <w:ilvl w:val="0"/>
          <w:numId w:val="5"/>
        </w:numPr>
        <w:spacing w:after="120"/>
        <w:jc w:val="both"/>
      </w:pPr>
      <w:r>
        <w:t>Nedostatečná spolupráce veřejného výzkumného sektoru a podniků,</w:t>
      </w:r>
    </w:p>
    <w:p w:rsidR="006C2A10" w:rsidRDefault="001A189E" w:rsidP="006C2A10">
      <w:pPr>
        <w:pStyle w:val="Odstavecseseznamem"/>
        <w:numPr>
          <w:ilvl w:val="0"/>
          <w:numId w:val="5"/>
        </w:numPr>
        <w:spacing w:after="120"/>
        <w:jc w:val="both"/>
      </w:pPr>
      <w:r>
        <w:t>N</w:t>
      </w:r>
      <w:r w:rsidR="006C2A10">
        <w:t>ízká efektivita a výkonnost veřejného výzkumného sektoru.</w:t>
      </w:r>
    </w:p>
    <w:p w:rsidR="006C2A10" w:rsidRDefault="006C2A10" w:rsidP="006C2A10">
      <w:pPr>
        <w:spacing w:after="120"/>
        <w:jc w:val="both"/>
      </w:pPr>
      <w:r>
        <w:t xml:space="preserve">Kvalita veřejné výzkumné základny je nezbytná pro podporu inovačního podnikání založeného na znalostech a pro </w:t>
      </w:r>
      <w:r w:rsidR="00C63B7E">
        <w:t xml:space="preserve">přilákání přímých zahraničních investic do </w:t>
      </w:r>
      <w:proofErr w:type="spellStart"/>
      <w:r w:rsidR="00C63B7E">
        <w:t>VaVaI</w:t>
      </w:r>
      <w:proofErr w:type="spellEnd"/>
      <w:r w:rsidR="00C63B7E">
        <w:t xml:space="preserve"> a do byznysu založeného na znalostech. Ve spojení s vysoce kvalifikovanou pracovní silou vytváří příležitosti pro spolupráci a pro inovační podnikání.</w:t>
      </w:r>
    </w:p>
    <w:p w:rsidR="006C2A10" w:rsidRDefault="006C2A10" w:rsidP="00FA36AB">
      <w:pPr>
        <w:pStyle w:val="Nadpis2"/>
        <w:numPr>
          <w:ilvl w:val="1"/>
          <w:numId w:val="1"/>
        </w:numPr>
        <w:spacing w:after="120"/>
        <w:ind w:left="578" w:hanging="578"/>
        <w:jc w:val="both"/>
      </w:pPr>
      <w:r>
        <w:t>Shrnutí</w:t>
      </w:r>
    </w:p>
    <w:p w:rsidR="00A97B01" w:rsidRDefault="00C63B7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20"/>
        <w:jc w:val="both"/>
      </w:pPr>
      <w:r>
        <w:t xml:space="preserve">Z profilu České republiky vyplývá několik skutečností, které významně snižují výkonnost systému </w:t>
      </w:r>
      <w:proofErr w:type="spellStart"/>
      <w:r>
        <w:t>VaVaI</w:t>
      </w:r>
      <w:proofErr w:type="spellEnd"/>
      <w:r>
        <w:t>. Jsou to následující</w:t>
      </w:r>
    </w:p>
    <w:p w:rsidR="00A97B01" w:rsidRDefault="00C63B7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20"/>
        <w:jc w:val="both"/>
      </w:pPr>
      <w:r>
        <w:rPr>
          <w:b/>
          <w:i/>
          <w:color w:val="4F81BD"/>
        </w:rPr>
        <w:t xml:space="preserve">Nízká kvalita českého </w:t>
      </w:r>
      <w:proofErr w:type="spellStart"/>
      <w:r>
        <w:rPr>
          <w:b/>
          <w:i/>
          <w:color w:val="4F81BD"/>
        </w:rPr>
        <w:t>VaVaI</w:t>
      </w:r>
      <w:proofErr w:type="spellEnd"/>
      <w:r>
        <w:t xml:space="preserve"> – v České republice vzniká značné množství vědeckých publikací, které jsou světovou vědeckou komunitou málo citovány</w:t>
      </w:r>
      <w:r w:rsidR="004872D4">
        <w:rPr>
          <w:rStyle w:val="Znakapoznpodarou"/>
        </w:rPr>
        <w:footnoteReference w:id="5"/>
      </w:r>
      <w:r>
        <w:t>. To svědčí o málo aktuálních a originálních tématech (česká věda až na výjimky neposouvá hranice poznání v jednotlivých vědních oborech), které nepřitahují pozornost.</w:t>
      </w:r>
    </w:p>
    <w:p w:rsidR="00A97B01" w:rsidRDefault="00C63B7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20"/>
        <w:jc w:val="both"/>
      </w:pPr>
      <w:r>
        <w:rPr>
          <w:b/>
          <w:i/>
          <w:color w:val="4F81BD"/>
        </w:rPr>
        <w:t xml:space="preserve">Nedostatečné investice do určité části </w:t>
      </w:r>
      <w:r w:rsidR="00107305">
        <w:rPr>
          <w:b/>
          <w:i/>
          <w:color w:val="4F81BD"/>
        </w:rPr>
        <w:t xml:space="preserve">podpory </w:t>
      </w:r>
      <w:proofErr w:type="spellStart"/>
      <w:r>
        <w:rPr>
          <w:b/>
          <w:i/>
          <w:color w:val="4F81BD"/>
        </w:rPr>
        <w:t>VaVaI</w:t>
      </w:r>
      <w:proofErr w:type="spellEnd"/>
      <w:r>
        <w:t xml:space="preserve"> – Česká republika vydává stále více veřejných finančních prostředků na </w:t>
      </w:r>
      <w:proofErr w:type="spellStart"/>
      <w:r>
        <w:t>VaVaI</w:t>
      </w:r>
      <w:proofErr w:type="spellEnd"/>
      <w:r>
        <w:t xml:space="preserve">, ale </w:t>
      </w:r>
      <w:r>
        <w:rPr>
          <w:b/>
          <w:i/>
          <w:color w:val="4F81BD"/>
        </w:rPr>
        <w:t>nedostává se rizikového kapitálu</w:t>
      </w:r>
      <w:r>
        <w:t>, což může mít dopad na komercializaci výsledků a na inovační činnosti.</w:t>
      </w:r>
    </w:p>
    <w:p w:rsidR="00A97B01" w:rsidRPr="00794A43" w:rsidRDefault="00C63B7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20"/>
        <w:jc w:val="both"/>
        <w:rPr>
          <w:color w:val="auto"/>
          <w:u w:val="single"/>
        </w:rPr>
      </w:pPr>
      <w:r>
        <w:t xml:space="preserve">Přes </w:t>
      </w:r>
      <w:r w:rsidR="00CA2BB9">
        <w:t xml:space="preserve">významný </w:t>
      </w:r>
      <w:r w:rsidR="00794A43">
        <w:t xml:space="preserve">a velmi rychlý </w:t>
      </w:r>
      <w:r>
        <w:t xml:space="preserve">nárůst </w:t>
      </w:r>
      <w:r w:rsidR="00794A43">
        <w:t xml:space="preserve">soukromých i veřejných výdajů na </w:t>
      </w:r>
      <w:proofErr w:type="spellStart"/>
      <w:r w:rsidR="00794A43">
        <w:t>VaVaI</w:t>
      </w:r>
      <w:proofErr w:type="spellEnd"/>
      <w:r w:rsidR="00794A43">
        <w:t xml:space="preserve"> </w:t>
      </w:r>
      <w:r w:rsidR="00CA2BB9">
        <w:t xml:space="preserve">v posledních letech </w:t>
      </w:r>
      <w:r w:rsidR="00794A43">
        <w:t>se</w:t>
      </w:r>
      <w:r>
        <w:t xml:space="preserve"> </w:t>
      </w:r>
      <w:r w:rsidR="00794A43">
        <w:t>stále po</w:t>
      </w:r>
      <w:r>
        <w:t xml:space="preserve">ukazuje na </w:t>
      </w:r>
      <w:r>
        <w:rPr>
          <w:b/>
          <w:i/>
          <w:color w:val="4F81BD"/>
        </w:rPr>
        <w:t>nedostatečnou dlouhodobou spolupráci akademického a</w:t>
      </w:r>
      <w:r w:rsidR="00FA36AB">
        <w:rPr>
          <w:b/>
          <w:i/>
          <w:color w:val="4F81BD"/>
        </w:rPr>
        <w:t> </w:t>
      </w:r>
      <w:r>
        <w:rPr>
          <w:b/>
          <w:i/>
          <w:color w:val="4F81BD"/>
        </w:rPr>
        <w:t>podnikatelského sektoru</w:t>
      </w:r>
      <w:r>
        <w:t>.</w:t>
      </w:r>
    </w:p>
    <w:p w:rsidR="00A97B01" w:rsidRDefault="00C63B7E" w:rsidP="00FA36AB">
      <w:pPr>
        <w:pStyle w:val="Nadpis1"/>
        <w:numPr>
          <w:ilvl w:val="0"/>
          <w:numId w:val="1"/>
        </w:numPr>
        <w:spacing w:after="120"/>
        <w:ind w:left="431" w:hanging="431"/>
        <w:jc w:val="both"/>
      </w:pPr>
      <w:bookmarkStart w:id="3" w:name="_1fob9te" w:colFirst="0" w:colLast="0"/>
      <w:bookmarkEnd w:id="3"/>
      <w:r>
        <w:t>Cíl aktualizace</w:t>
      </w:r>
    </w:p>
    <w:p w:rsidR="00A97B01" w:rsidRDefault="00C63B7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120" w:line="240" w:lineRule="auto"/>
        <w:jc w:val="both"/>
        <w:rPr>
          <w:b/>
        </w:rPr>
      </w:pPr>
      <w:r>
        <w:rPr>
          <w:b/>
        </w:rPr>
        <w:t xml:space="preserve">S využitím strategických cílů NP </w:t>
      </w:r>
      <w:proofErr w:type="spellStart"/>
      <w:r>
        <w:rPr>
          <w:b/>
        </w:rPr>
        <w:t>VaVaI</w:t>
      </w:r>
      <w:proofErr w:type="spellEnd"/>
      <w:r>
        <w:rPr>
          <w:b/>
        </w:rPr>
        <w:t xml:space="preserve"> 2 až 5 vytvořit podmínky pro přestup České republiky ze skupiny “</w:t>
      </w:r>
      <w:proofErr w:type="spellStart"/>
      <w:r>
        <w:rPr>
          <w:b/>
        </w:rPr>
        <w:t>moderate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innovators</w:t>
      </w:r>
      <w:proofErr w:type="spellEnd"/>
      <w:r>
        <w:rPr>
          <w:b/>
        </w:rPr>
        <w:t>” do skupiny “</w:t>
      </w:r>
      <w:proofErr w:type="spellStart"/>
      <w:r>
        <w:rPr>
          <w:b/>
        </w:rPr>
        <w:t>strong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innovators</w:t>
      </w:r>
      <w:proofErr w:type="spellEnd"/>
      <w:r>
        <w:rPr>
          <w:b/>
        </w:rPr>
        <w:t>”</w:t>
      </w:r>
      <w:r w:rsidR="005536D0">
        <w:rPr>
          <w:b/>
        </w:rPr>
        <w:t xml:space="preserve"> nad</w:t>
      </w:r>
      <w:r w:rsidR="00FA36AB">
        <w:rPr>
          <w:b/>
        </w:rPr>
        <w:t> </w:t>
      </w:r>
      <w:r w:rsidR="005536D0">
        <w:rPr>
          <w:b/>
        </w:rPr>
        <w:t>průměr EU</w:t>
      </w:r>
      <w:r>
        <w:rPr>
          <w:b/>
        </w:rPr>
        <w:t>.</w:t>
      </w:r>
    </w:p>
    <w:p w:rsidR="00A97B01" w:rsidRDefault="00C63B7E">
      <w:pPr>
        <w:spacing w:after="120" w:line="240" w:lineRule="auto"/>
        <w:jc w:val="both"/>
      </w:pPr>
      <w:r>
        <w:t>Pro změnu situace, opakovaně indikované Evropskou komisí i podrobnými údaji publikovanými v Analýze stavu výzkumu, vývoje a inovací v České republice jsou navrženy tři základní okruhy</w:t>
      </w:r>
      <w:r w:rsidR="002405F5">
        <w:t xml:space="preserve"> / klíčové aktivity</w:t>
      </w:r>
      <w:r>
        <w:t xml:space="preserve">, na které je třeba se při aktualizaci NP </w:t>
      </w:r>
      <w:proofErr w:type="spellStart"/>
      <w:r>
        <w:t>VaVaI</w:t>
      </w:r>
      <w:proofErr w:type="spellEnd"/>
      <w:r>
        <w:t xml:space="preserve"> soustředit, aby došlo ke splnění strategických cílů NP </w:t>
      </w:r>
      <w:proofErr w:type="spellStart"/>
      <w:r>
        <w:t>VaVaI</w:t>
      </w:r>
      <w:proofErr w:type="spellEnd"/>
      <w:r>
        <w:t>:</w:t>
      </w:r>
    </w:p>
    <w:p w:rsidR="00107305" w:rsidRDefault="00107305" w:rsidP="00107305">
      <w:pPr>
        <w:numPr>
          <w:ilvl w:val="0"/>
          <w:numId w:val="3"/>
        </w:numPr>
        <w:spacing w:after="120" w:line="240" w:lineRule="auto"/>
        <w:jc w:val="both"/>
      </w:pPr>
      <w:r>
        <w:rPr>
          <w:b/>
          <w:i/>
          <w:color w:val="4F81BD"/>
        </w:rPr>
        <w:lastRenderedPageBreak/>
        <w:t>excelence / kvalita výzkumu</w:t>
      </w:r>
      <w:r>
        <w:t xml:space="preserve"> jako předpoklad pro posun českého hospodářství k</w:t>
      </w:r>
      <w:r w:rsidR="00FA36AB">
        <w:t> </w:t>
      </w:r>
      <w:r>
        <w:t>hospodářství s vyšší přidanou hodnotou a posun českých výzkumných institucí v</w:t>
      </w:r>
      <w:r w:rsidR="00FA36AB">
        <w:t> </w:t>
      </w:r>
      <w:r>
        <w:t>mezinárodním srovnání;</w:t>
      </w:r>
    </w:p>
    <w:p w:rsidR="00107305" w:rsidRDefault="00107305" w:rsidP="00107305">
      <w:pPr>
        <w:numPr>
          <w:ilvl w:val="0"/>
          <w:numId w:val="3"/>
        </w:numPr>
        <w:spacing w:after="120" w:line="240" w:lineRule="auto"/>
        <w:jc w:val="both"/>
      </w:pPr>
      <w:r>
        <w:rPr>
          <w:b/>
          <w:i/>
          <w:color w:val="4F81BD"/>
        </w:rPr>
        <w:t xml:space="preserve">podpora aplikovaného výzkumu </w:t>
      </w:r>
      <w:r w:rsidR="005536D0">
        <w:rPr>
          <w:b/>
          <w:i/>
          <w:color w:val="4F81BD"/>
        </w:rPr>
        <w:t xml:space="preserve">a </w:t>
      </w:r>
      <w:r w:rsidR="005536D0" w:rsidRPr="00107305">
        <w:rPr>
          <w:b/>
          <w:i/>
          <w:color w:val="4F81BD"/>
        </w:rPr>
        <w:t xml:space="preserve">podpora </w:t>
      </w:r>
      <w:r w:rsidR="005536D0">
        <w:rPr>
          <w:b/>
          <w:i/>
          <w:color w:val="4F81BD"/>
        </w:rPr>
        <w:t xml:space="preserve">výzkumného a </w:t>
      </w:r>
      <w:r w:rsidR="005536D0" w:rsidRPr="00107305">
        <w:rPr>
          <w:b/>
          <w:i/>
          <w:color w:val="4F81BD"/>
        </w:rPr>
        <w:t>inovačního ekosystému</w:t>
      </w:r>
      <w:r w:rsidR="005536D0">
        <w:t>, zajišťující celkový systémový pohled</w:t>
      </w:r>
      <w:r w:rsidR="005536D0" w:rsidRPr="00107305">
        <w:t xml:space="preserve"> </w:t>
      </w:r>
      <w:r w:rsidRPr="00107305">
        <w:t>a</w:t>
      </w:r>
      <w:r>
        <w:t xml:space="preserve"> jako nezbytně nutná podmínka na všech úrovních pro zvýšení kvality výzkumu, spolupráce a uplatnění výsledků v</w:t>
      </w:r>
      <w:r w:rsidR="00FA36AB">
        <w:t> </w:t>
      </w:r>
      <w:r>
        <w:t xml:space="preserve">praxi; </w:t>
      </w:r>
    </w:p>
    <w:p w:rsidR="00107305" w:rsidRDefault="005536D0" w:rsidP="00107305">
      <w:pPr>
        <w:numPr>
          <w:ilvl w:val="0"/>
          <w:numId w:val="3"/>
        </w:numPr>
        <w:spacing w:after="120" w:line="240" w:lineRule="auto"/>
        <w:jc w:val="both"/>
      </w:pPr>
      <w:r w:rsidRPr="00107305">
        <w:rPr>
          <w:b/>
          <w:i/>
          <w:color w:val="4F81BD"/>
        </w:rPr>
        <w:t>mezinárodní spolupráce</w:t>
      </w:r>
      <w:r>
        <w:t xml:space="preserve"> jako </w:t>
      </w:r>
      <w:r w:rsidR="00016D08">
        <w:t xml:space="preserve">významný </w:t>
      </w:r>
      <w:r>
        <w:t>nástroj pro zvýšení kvality výzkumu a</w:t>
      </w:r>
      <w:r w:rsidR="00FA36AB">
        <w:t> </w:t>
      </w:r>
      <w:r>
        <w:t xml:space="preserve">vývoje jako celku i kvality získaných výsledků výzkumu, vývoje </w:t>
      </w:r>
      <w:r w:rsidR="00584D21">
        <w:t>a</w:t>
      </w:r>
      <w:r>
        <w:t xml:space="preserve"> inovací;</w:t>
      </w:r>
    </w:p>
    <w:p w:rsidR="007164EF" w:rsidRDefault="005536D0" w:rsidP="00107305">
      <w:pPr>
        <w:numPr>
          <w:ilvl w:val="0"/>
          <w:numId w:val="3"/>
        </w:numPr>
        <w:spacing w:after="120" w:line="240" w:lineRule="auto"/>
        <w:ind w:left="714" w:hanging="357"/>
        <w:jc w:val="both"/>
      </w:pPr>
      <w:r>
        <w:rPr>
          <w:b/>
          <w:i/>
          <w:color w:val="4F81BD"/>
        </w:rPr>
        <w:t>řízení a koordinace oblasti výzkumu, vývoje a inovací</w:t>
      </w:r>
      <w:r w:rsidR="007164EF">
        <w:t>;</w:t>
      </w:r>
    </w:p>
    <w:p w:rsidR="00107305" w:rsidRPr="00ED7D78" w:rsidRDefault="007164EF" w:rsidP="00107305">
      <w:pPr>
        <w:pStyle w:val="Normlnweb"/>
        <w:numPr>
          <w:ilvl w:val="0"/>
          <w:numId w:val="3"/>
        </w:numPr>
        <w:spacing w:before="0" w:beforeAutospacing="0" w:after="120" w:afterAutospacing="0"/>
        <w:ind w:left="714" w:hanging="357"/>
        <w:jc w:val="both"/>
        <w:textAlignment w:val="baseline"/>
        <w:rPr>
          <w:rFonts w:ascii="Arial" w:hAnsi="Arial" w:cs="Arial"/>
          <w:sz w:val="22"/>
          <w:szCs w:val="22"/>
        </w:rPr>
      </w:pPr>
      <w:r w:rsidRPr="00ED7D78">
        <w:rPr>
          <w:rFonts w:ascii="Arial" w:hAnsi="Arial" w:cs="Arial"/>
          <w:b/>
          <w:bCs/>
          <w:i/>
          <w:iCs/>
          <w:color w:val="4F81BD"/>
          <w:sz w:val="22"/>
          <w:szCs w:val="22"/>
        </w:rPr>
        <w:t>lidské zdroje</w:t>
      </w:r>
      <w:r w:rsidR="005536D0" w:rsidRPr="00ED7D78">
        <w:rPr>
          <w:rFonts w:ascii="Arial" w:hAnsi="Arial" w:cs="Arial"/>
          <w:b/>
          <w:bCs/>
          <w:i/>
          <w:iCs/>
          <w:color w:val="4F81BD"/>
          <w:sz w:val="22"/>
          <w:szCs w:val="22"/>
        </w:rPr>
        <w:t xml:space="preserve"> a kvalita vzdělávacího systému</w:t>
      </w:r>
      <w:r w:rsidRPr="00ED7D78">
        <w:rPr>
          <w:rFonts w:ascii="Arial" w:hAnsi="Arial" w:cs="Arial"/>
          <w:color w:val="000000"/>
          <w:sz w:val="22"/>
          <w:szCs w:val="22"/>
        </w:rPr>
        <w:t xml:space="preserve">, motivace v celém spektru </w:t>
      </w:r>
      <w:proofErr w:type="spellStart"/>
      <w:r w:rsidRPr="00ED7D78">
        <w:rPr>
          <w:rFonts w:ascii="Arial" w:hAnsi="Arial" w:cs="Arial"/>
          <w:color w:val="000000"/>
          <w:sz w:val="22"/>
          <w:szCs w:val="22"/>
        </w:rPr>
        <w:t>VaVaI</w:t>
      </w:r>
      <w:proofErr w:type="spellEnd"/>
      <w:r w:rsidR="00107305" w:rsidRPr="00ED7D78">
        <w:rPr>
          <w:rFonts w:ascii="Arial" w:hAnsi="Arial" w:cs="Arial"/>
          <w:sz w:val="22"/>
          <w:szCs w:val="22"/>
        </w:rPr>
        <w:t>.</w:t>
      </w:r>
    </w:p>
    <w:p w:rsidR="00A97B01" w:rsidRDefault="00C63B7E">
      <w:pPr>
        <w:spacing w:after="120" w:line="240" w:lineRule="auto"/>
        <w:jc w:val="both"/>
      </w:pPr>
      <w:r>
        <w:t xml:space="preserve">Mimo tento výčet se navrhuje přijmout </w:t>
      </w:r>
      <w:r>
        <w:rPr>
          <w:b/>
          <w:i/>
          <w:color w:val="4F81BD"/>
        </w:rPr>
        <w:t>opatření strukturální povahy</w:t>
      </w:r>
      <w:r>
        <w:t xml:space="preserve"> v oblasti uspořádání státní správy</w:t>
      </w:r>
      <w:r w:rsidR="004D2A08">
        <w:t>, hodnocení výkonnosti výzkumu (včetně kontrolních mechanismů)</w:t>
      </w:r>
      <w:r>
        <w:t xml:space="preserve"> nebo legislativní opatření.</w:t>
      </w:r>
    </w:p>
    <w:p w:rsidR="009C0C70" w:rsidRDefault="009C0C70" w:rsidP="00FA36AB">
      <w:pPr>
        <w:pStyle w:val="Nadpis1"/>
        <w:numPr>
          <w:ilvl w:val="0"/>
          <w:numId w:val="1"/>
        </w:numPr>
        <w:spacing w:after="120"/>
        <w:ind w:left="431" w:hanging="431"/>
        <w:jc w:val="both"/>
      </w:pPr>
      <w:r>
        <w:t xml:space="preserve">Úkoly pro aktualizaci NP </w:t>
      </w:r>
      <w:proofErr w:type="spellStart"/>
      <w:r>
        <w:t>VaVaI</w:t>
      </w:r>
      <w:proofErr w:type="spellEnd"/>
    </w:p>
    <w:p w:rsidR="009C0C70" w:rsidRDefault="009C0C70" w:rsidP="009C0C70">
      <w:pPr>
        <w:numPr>
          <w:ilvl w:val="0"/>
          <w:numId w:val="4"/>
        </w:numPr>
        <w:spacing w:after="120"/>
        <w:ind w:left="714" w:hanging="357"/>
        <w:jc w:val="both"/>
      </w:pPr>
      <w:r>
        <w:t xml:space="preserve">Vyhodnotit strategické a specifické cíle NP </w:t>
      </w:r>
      <w:proofErr w:type="spellStart"/>
      <w:r>
        <w:t>VaVaI</w:t>
      </w:r>
      <w:proofErr w:type="spellEnd"/>
      <w:r>
        <w:t xml:space="preserve"> a navrhnout jejich případné změny.</w:t>
      </w:r>
    </w:p>
    <w:p w:rsidR="009C0C70" w:rsidRDefault="009C0C70" w:rsidP="009C0C70">
      <w:pPr>
        <w:numPr>
          <w:ilvl w:val="0"/>
          <w:numId w:val="4"/>
        </w:numPr>
        <w:spacing w:after="120"/>
        <w:ind w:left="714" w:hanging="357"/>
        <w:jc w:val="both"/>
      </w:pPr>
      <w:r>
        <w:t xml:space="preserve">Vyhodnotit opatření NP </w:t>
      </w:r>
      <w:proofErr w:type="spellStart"/>
      <w:r>
        <w:t>VaVaI</w:t>
      </w:r>
      <w:proofErr w:type="spellEnd"/>
      <w:r>
        <w:t xml:space="preserve"> a potvrdit jejich platnost nebo navrhnout jejich změny či jejich zrušení z důvodu neaktuálnosti, nebo navrhnout nová opatření, snížit jejich počet a navrhnout jejich hodnocení.</w:t>
      </w:r>
    </w:p>
    <w:p w:rsidR="009C0C70" w:rsidRDefault="009C0C70" w:rsidP="009C0C70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00"/>
        <w:contextualSpacing/>
        <w:jc w:val="both"/>
      </w:pPr>
      <w:r>
        <w:t xml:space="preserve">Provést kontrolu indikátorů uvedených v příloze 2 NP </w:t>
      </w:r>
      <w:proofErr w:type="spellStart"/>
      <w:r>
        <w:t>VaVaI</w:t>
      </w:r>
      <w:proofErr w:type="spellEnd"/>
      <w:r>
        <w:t xml:space="preserve"> a prověřit jejich aktuálnost, vypovídací schopnost a jednoznačnost vzhledem k hodnocení pokroku cílů NP </w:t>
      </w:r>
      <w:proofErr w:type="spellStart"/>
      <w:r>
        <w:t>VaVaI</w:t>
      </w:r>
      <w:proofErr w:type="spellEnd"/>
      <w:r>
        <w:t>.</w:t>
      </w:r>
    </w:p>
    <w:p w:rsidR="009C0C70" w:rsidRDefault="009C0C70" w:rsidP="009C0C70">
      <w:pPr>
        <w:numPr>
          <w:ilvl w:val="0"/>
          <w:numId w:val="4"/>
        </w:numPr>
        <w:spacing w:after="120"/>
        <w:ind w:left="714" w:hanging="357"/>
        <w:jc w:val="both"/>
      </w:pPr>
      <w:r>
        <w:t xml:space="preserve">Aktualizovat text NP </w:t>
      </w:r>
      <w:proofErr w:type="spellStart"/>
      <w:r>
        <w:t>VaVaI</w:t>
      </w:r>
      <w:proofErr w:type="spellEnd"/>
      <w:r>
        <w:t xml:space="preserve"> v kontextu organizačních změn v řízení systému </w:t>
      </w:r>
      <w:proofErr w:type="spellStart"/>
      <w:r>
        <w:t>VaVaI</w:t>
      </w:r>
      <w:proofErr w:type="spellEnd"/>
      <w:r>
        <w:t>, k nimž došlo s účinností od 1. ledna 2018 v Úřadu vlády České republiky a od 1.</w:t>
      </w:r>
      <w:r w:rsidR="00FA36AB">
        <w:t> </w:t>
      </w:r>
      <w:r>
        <w:t>dubna 2018 v Úřadu vlády České republiky a Ministerstvu průmyslu a obchodu.</w:t>
      </w:r>
    </w:p>
    <w:p w:rsidR="009C0C70" w:rsidRDefault="009C0C70" w:rsidP="009C0C70">
      <w:pPr>
        <w:numPr>
          <w:ilvl w:val="0"/>
          <w:numId w:val="4"/>
        </w:numPr>
        <w:spacing w:after="120"/>
        <w:ind w:left="714" w:hanging="357"/>
        <w:jc w:val="both"/>
      </w:pPr>
      <w:r>
        <w:t xml:space="preserve">Aktualizovat principy začlenění agentur TA ČR a GA ČR do národního systému </w:t>
      </w:r>
      <w:proofErr w:type="spellStart"/>
      <w:r>
        <w:t>VaVaI</w:t>
      </w:r>
      <w:proofErr w:type="spellEnd"/>
      <w:r>
        <w:t>, jejich kompetence a úkoly.</w:t>
      </w:r>
    </w:p>
    <w:p w:rsidR="009C0C70" w:rsidRDefault="009C0C70" w:rsidP="009C0C70">
      <w:pPr>
        <w:numPr>
          <w:ilvl w:val="0"/>
          <w:numId w:val="4"/>
        </w:numPr>
        <w:spacing w:after="120"/>
        <w:ind w:left="714" w:hanging="357"/>
        <w:jc w:val="both"/>
      </w:pPr>
      <w:r>
        <w:t xml:space="preserve">Soustředit se na řešení kritických bodů systému </w:t>
      </w:r>
      <w:proofErr w:type="spellStart"/>
      <w:r>
        <w:t>VaVaI</w:t>
      </w:r>
      <w:proofErr w:type="spellEnd"/>
      <w:r>
        <w:t xml:space="preserve">, které omezují jeho rozvoj ve směru zlepšení pozice ČR v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Innovation</w:t>
      </w:r>
      <w:proofErr w:type="spellEnd"/>
      <w:r>
        <w:t xml:space="preserve"> </w:t>
      </w:r>
      <w:proofErr w:type="spellStart"/>
      <w:r>
        <w:t>Scoreboard</w:t>
      </w:r>
      <w:proofErr w:type="spellEnd"/>
      <w:r>
        <w:t>.</w:t>
      </w:r>
    </w:p>
    <w:p w:rsidR="00543FB0" w:rsidRDefault="009C0C70" w:rsidP="00FA36AB">
      <w:pPr>
        <w:pStyle w:val="Nadpis1"/>
        <w:numPr>
          <w:ilvl w:val="0"/>
          <w:numId w:val="1"/>
        </w:numPr>
        <w:spacing w:after="120"/>
        <w:ind w:left="431" w:hanging="431"/>
        <w:jc w:val="both"/>
      </w:pPr>
      <w:r>
        <w:t>Opatření na podporu</w:t>
      </w:r>
      <w:r w:rsidR="004D1E9F">
        <w:t xml:space="preserve"> implementace některých klíčových aktivit uvedených v části 2 </w:t>
      </w:r>
    </w:p>
    <w:p w:rsidR="004D1E9F" w:rsidRDefault="004D1E9F" w:rsidP="004D1E9F">
      <w:pPr>
        <w:spacing w:after="120" w:line="240" w:lineRule="auto"/>
        <w:jc w:val="both"/>
      </w:pPr>
      <w:r>
        <w:t xml:space="preserve">K excelenci / kvalitě výzkumu: </w:t>
      </w:r>
    </w:p>
    <w:p w:rsidR="004D1E9F" w:rsidRDefault="004D1E9F" w:rsidP="004D1E9F">
      <w:pPr>
        <w:pStyle w:val="Odstavecseseznamem"/>
        <w:numPr>
          <w:ilvl w:val="0"/>
          <w:numId w:val="9"/>
        </w:numPr>
        <w:spacing w:after="120" w:line="240" w:lineRule="auto"/>
        <w:jc w:val="both"/>
      </w:pPr>
      <w:r>
        <w:t>Postupné</w:t>
      </w:r>
      <w:r w:rsidR="00C4371A">
        <w:t>,</w:t>
      </w:r>
      <w:r>
        <w:t xml:space="preserve"> </w:t>
      </w:r>
      <w:r w:rsidR="00016D08">
        <w:t>nicméně rychlé</w:t>
      </w:r>
      <w:r w:rsidR="00C4371A">
        <w:t>,</w:t>
      </w:r>
      <w:r w:rsidR="00016D08">
        <w:t xml:space="preserve"> </w:t>
      </w:r>
      <w:r>
        <w:t xml:space="preserve">zvyšování náročnosti GA ČR na úroveň výsledků </w:t>
      </w:r>
      <w:r w:rsidR="00016D08">
        <w:t xml:space="preserve">základního </w:t>
      </w:r>
      <w:r>
        <w:t>výzkumu u podpořených projektů</w:t>
      </w:r>
      <w:r w:rsidR="00016D08">
        <w:t xml:space="preserve"> a jejich využitelnosti pro navazující aplikovaný výzkum</w:t>
      </w:r>
      <w:r>
        <w:t>,</w:t>
      </w:r>
    </w:p>
    <w:p w:rsidR="004D1E9F" w:rsidRDefault="004D1E9F" w:rsidP="004D1E9F">
      <w:pPr>
        <w:pStyle w:val="Odstavecseseznamem"/>
        <w:numPr>
          <w:ilvl w:val="0"/>
          <w:numId w:val="9"/>
        </w:numPr>
        <w:spacing w:after="120" w:line="240" w:lineRule="auto"/>
        <w:jc w:val="both"/>
      </w:pPr>
      <w:r>
        <w:t xml:space="preserve">Implementace Metodiky hodnocení 2017+ jako nástroje pro řízení výzkumných organizací a podporu kvalitativních změn u dosahovaných výsledků </w:t>
      </w:r>
      <w:proofErr w:type="spellStart"/>
      <w:r>
        <w:t>VaV</w:t>
      </w:r>
      <w:proofErr w:type="spellEnd"/>
      <w:r>
        <w:t>,</w:t>
      </w:r>
    </w:p>
    <w:p w:rsidR="004D1E9F" w:rsidRDefault="004D1E9F" w:rsidP="004D1E9F">
      <w:pPr>
        <w:spacing w:after="120" w:line="240" w:lineRule="auto"/>
        <w:jc w:val="both"/>
      </w:pPr>
      <w:r>
        <w:t>K podpoře aplikovaného výzkumu</w:t>
      </w:r>
    </w:p>
    <w:p w:rsidR="004D1E9F" w:rsidRDefault="00A87392" w:rsidP="004D1E9F">
      <w:pPr>
        <w:pStyle w:val="Odstavecseseznamem"/>
        <w:numPr>
          <w:ilvl w:val="0"/>
          <w:numId w:val="10"/>
        </w:numPr>
        <w:spacing w:after="120" w:line="240" w:lineRule="auto"/>
        <w:jc w:val="both"/>
      </w:pPr>
      <w:r>
        <w:t>Z</w:t>
      </w:r>
      <w:r w:rsidR="004D1E9F">
        <w:t>lepšení spolupráce resortních ministerstev a TA ČR, zejména pak MPO</w:t>
      </w:r>
      <w:r w:rsidR="00016D08">
        <w:t xml:space="preserve">, MD, MŽP </w:t>
      </w:r>
      <w:r w:rsidR="004D1E9F">
        <w:t>a TA ČR,</w:t>
      </w:r>
      <w:r>
        <w:t xml:space="preserve"> včetně legislativní změny</w:t>
      </w:r>
      <w:r w:rsidR="00016D08">
        <w:t>,</w:t>
      </w:r>
    </w:p>
    <w:p w:rsidR="00543FB0" w:rsidRDefault="00A87392" w:rsidP="00A87392">
      <w:pPr>
        <w:pStyle w:val="Odstavecseseznamem"/>
        <w:numPr>
          <w:ilvl w:val="0"/>
          <w:numId w:val="10"/>
        </w:numPr>
        <w:spacing w:after="120" w:line="240" w:lineRule="auto"/>
        <w:jc w:val="both"/>
      </w:pPr>
      <w:r>
        <w:lastRenderedPageBreak/>
        <w:t>V</w:t>
      </w:r>
      <w:r w:rsidR="004D1E9F">
        <w:t>yužití strategie inteligentní specializace (RIS</w:t>
      </w:r>
      <w:r w:rsidR="00016D08">
        <w:t>3</w:t>
      </w:r>
      <w:r w:rsidR="004D1E9F">
        <w:t>) jako nástroj</w:t>
      </w:r>
      <w:r w:rsidR="00016D08">
        <w:t>e</w:t>
      </w:r>
      <w:r w:rsidR="004D1E9F">
        <w:t xml:space="preserve"> pro stanovení priorit aplikovaného výzkumu a vývoje</w:t>
      </w:r>
      <w:r w:rsidR="009C0C70">
        <w:t xml:space="preserve">; nová RIS3 strategie pro </w:t>
      </w:r>
      <w:r w:rsidR="00996354">
        <w:t>příští</w:t>
      </w:r>
      <w:r w:rsidR="009C0C70">
        <w:t xml:space="preserve"> programovací období,</w:t>
      </w:r>
    </w:p>
    <w:p w:rsidR="009C0C70" w:rsidRDefault="009C0C70" w:rsidP="00ED7D78">
      <w:pPr>
        <w:spacing w:after="120" w:line="240" w:lineRule="auto"/>
        <w:jc w:val="both"/>
      </w:pPr>
      <w:r>
        <w:t>K mezinárodní spolupráci</w:t>
      </w:r>
    </w:p>
    <w:p w:rsidR="009C0C70" w:rsidRDefault="009C0C70" w:rsidP="000C0CC3">
      <w:pPr>
        <w:pStyle w:val="Odstavecseseznamem"/>
        <w:numPr>
          <w:ilvl w:val="0"/>
          <w:numId w:val="10"/>
        </w:numPr>
        <w:spacing w:after="120" w:line="240" w:lineRule="auto"/>
        <w:jc w:val="both"/>
      </w:pPr>
      <w:r>
        <w:t>Koncepce dle MŠMT,</w:t>
      </w:r>
    </w:p>
    <w:p w:rsidR="009C0C70" w:rsidRDefault="009C0C70" w:rsidP="00ED7D78">
      <w:pPr>
        <w:spacing w:after="120" w:line="240" w:lineRule="auto"/>
        <w:jc w:val="both"/>
      </w:pPr>
      <w:r>
        <w:t>K řízení a koordinaci</w:t>
      </w:r>
    </w:p>
    <w:p w:rsidR="009C0C70" w:rsidRDefault="009C0C70" w:rsidP="000C0CC3">
      <w:pPr>
        <w:pStyle w:val="Odstavecseseznamem"/>
        <w:numPr>
          <w:ilvl w:val="0"/>
          <w:numId w:val="10"/>
        </w:numPr>
        <w:spacing w:after="120" w:line="240" w:lineRule="auto"/>
        <w:jc w:val="both"/>
      </w:pPr>
      <w:r>
        <w:t>Implementace Národní center kompetence</w:t>
      </w:r>
      <w:r w:rsidR="00996354">
        <w:t>,</w:t>
      </w:r>
    </w:p>
    <w:p w:rsidR="009C0C70" w:rsidRDefault="009C0C70" w:rsidP="000C0CC3">
      <w:pPr>
        <w:pStyle w:val="Odstavecseseznamem"/>
        <w:numPr>
          <w:ilvl w:val="0"/>
          <w:numId w:val="10"/>
        </w:numPr>
        <w:spacing w:after="120" w:line="240" w:lineRule="auto"/>
        <w:jc w:val="both"/>
      </w:pPr>
      <w:r>
        <w:t>Řízení a koordinace aplikovaného výzkumu a vývoje,</w:t>
      </w:r>
    </w:p>
    <w:p w:rsidR="00ED7D78" w:rsidRDefault="00ED7D78" w:rsidP="00ED7D78">
      <w:pPr>
        <w:spacing w:after="120" w:line="240" w:lineRule="auto"/>
        <w:jc w:val="both"/>
      </w:pPr>
      <w:r>
        <w:t>K podpoře rozvoje lidských zdrojů</w:t>
      </w:r>
    </w:p>
    <w:p w:rsidR="00ED7D78" w:rsidRDefault="00ED7D78" w:rsidP="00ED7D78">
      <w:pPr>
        <w:pStyle w:val="Odstavecseseznamem"/>
        <w:numPr>
          <w:ilvl w:val="0"/>
          <w:numId w:val="10"/>
        </w:numPr>
        <w:spacing w:after="120" w:line="240" w:lineRule="auto"/>
        <w:jc w:val="both"/>
      </w:pPr>
      <w:r>
        <w:t>Implementace Akčního plánu rozvoje lidských zdrojů</w:t>
      </w:r>
      <w:r w:rsidR="009C0C70">
        <w:t>.</w:t>
      </w:r>
    </w:p>
    <w:p w:rsidR="0078567C" w:rsidRDefault="0078567C" w:rsidP="00FA36AB">
      <w:pPr>
        <w:pStyle w:val="Nadpis1"/>
        <w:numPr>
          <w:ilvl w:val="0"/>
          <w:numId w:val="1"/>
        </w:numPr>
        <w:spacing w:after="120"/>
        <w:ind w:left="431" w:hanging="431"/>
        <w:jc w:val="both"/>
      </w:pPr>
      <w:bookmarkStart w:id="4" w:name="_3znysh7" w:colFirst="0" w:colLast="0"/>
      <w:bookmarkEnd w:id="4"/>
      <w:r>
        <w:t xml:space="preserve">Příprava nové Národní politiky </w:t>
      </w:r>
      <w:proofErr w:type="spellStart"/>
      <w:r>
        <w:t>VaVaI</w:t>
      </w:r>
      <w:proofErr w:type="spellEnd"/>
      <w:r>
        <w:t xml:space="preserve"> pro období po roce 2020</w:t>
      </w:r>
    </w:p>
    <w:p w:rsidR="0078567C" w:rsidRDefault="007442AC" w:rsidP="007442AC">
      <w:pPr>
        <w:spacing w:after="120" w:line="240" w:lineRule="auto"/>
        <w:jc w:val="both"/>
      </w:pPr>
      <w:r>
        <w:t xml:space="preserve">Platnost stávající Národní politiky </w:t>
      </w:r>
      <w:proofErr w:type="spellStart"/>
      <w:r>
        <w:t>VaVaI</w:t>
      </w:r>
      <w:proofErr w:type="spellEnd"/>
      <w:r>
        <w:t xml:space="preserve"> je stanovena na období do roku 2020 včetně. Pro</w:t>
      </w:r>
      <w:r w:rsidR="00FA36AB">
        <w:t> </w:t>
      </w:r>
      <w:r>
        <w:t>další programovací období bude nutné připravit nový strategický dokument.</w:t>
      </w:r>
    </w:p>
    <w:p w:rsidR="007442AC" w:rsidRPr="0078567C" w:rsidRDefault="007442AC" w:rsidP="007442AC">
      <w:pPr>
        <w:spacing w:after="120" w:line="240" w:lineRule="auto"/>
        <w:jc w:val="both"/>
      </w:pPr>
      <w:r>
        <w:t>Harmonogram bude stanoven tak, aby nová národní politika byla vládě předložena přibližně na konci roku 2019.</w:t>
      </w:r>
    </w:p>
    <w:p w:rsidR="00ED7D78" w:rsidRDefault="00ED7D78" w:rsidP="00FA36AB">
      <w:pPr>
        <w:pStyle w:val="Nadpis1"/>
        <w:numPr>
          <w:ilvl w:val="0"/>
          <w:numId w:val="1"/>
        </w:numPr>
        <w:spacing w:after="120"/>
        <w:ind w:left="431" w:hanging="431"/>
        <w:jc w:val="both"/>
      </w:pPr>
      <w:r>
        <w:t>Pracovní skupina</w:t>
      </w:r>
    </w:p>
    <w:p w:rsidR="00ED7D78" w:rsidRDefault="00ED7D78" w:rsidP="00ED7D78">
      <w:pPr>
        <w:spacing w:after="120" w:line="240" w:lineRule="auto"/>
        <w:jc w:val="both"/>
      </w:pPr>
      <w:r>
        <w:t xml:space="preserve">Bude ustavena společná pracovní skupina složená </w:t>
      </w:r>
      <w:r w:rsidR="00FA36AB">
        <w:t>ze zástupců RVVI (zpravodajové Ing. </w:t>
      </w:r>
      <w:proofErr w:type="spellStart"/>
      <w:r w:rsidR="00FA36AB">
        <w:t>Palíšek</w:t>
      </w:r>
      <w:proofErr w:type="spellEnd"/>
      <w:r w:rsidR="00FA36AB">
        <w:t>, I</w:t>
      </w:r>
      <w:r>
        <w:t xml:space="preserve">ng. Kouřil, dr. Baran), </w:t>
      </w:r>
      <w:r w:rsidR="0037782D">
        <w:t xml:space="preserve">Odboru poradců a analýz (Ing. Rut </w:t>
      </w:r>
      <w:proofErr w:type="spellStart"/>
      <w:r w:rsidR="0037782D">
        <w:t>Bízková</w:t>
      </w:r>
      <w:proofErr w:type="spellEnd"/>
      <w:r w:rsidR="0037782D">
        <w:t xml:space="preserve">), </w:t>
      </w:r>
      <w:r>
        <w:t>Odboru Rady pro výzkum, vývoj a inovace, MŠMT a</w:t>
      </w:r>
      <w:r w:rsidR="00FA36AB">
        <w:t> </w:t>
      </w:r>
      <w:r>
        <w:t>MPO.</w:t>
      </w:r>
    </w:p>
    <w:p w:rsidR="0078567C" w:rsidRDefault="0078567C" w:rsidP="00ED7D78">
      <w:pPr>
        <w:spacing w:after="120" w:line="240" w:lineRule="auto"/>
        <w:jc w:val="both"/>
      </w:pPr>
      <w:r>
        <w:t xml:space="preserve">Pracovní skupina bude pověřena jak přípravou aktualizace stávající Národní politiky </w:t>
      </w:r>
      <w:proofErr w:type="spellStart"/>
      <w:r>
        <w:t>VaVaI</w:t>
      </w:r>
      <w:proofErr w:type="spellEnd"/>
      <w:r>
        <w:t xml:space="preserve">, tak přípravou návrhu nové Národní politiky </w:t>
      </w:r>
      <w:proofErr w:type="spellStart"/>
      <w:r>
        <w:t>VaVaI</w:t>
      </w:r>
      <w:proofErr w:type="spellEnd"/>
      <w:r>
        <w:t xml:space="preserve"> pro období po roce 2020.</w:t>
      </w:r>
    </w:p>
    <w:p w:rsidR="00114662" w:rsidRDefault="00114662" w:rsidP="00ED7D78">
      <w:pPr>
        <w:spacing w:after="120" w:line="240" w:lineRule="auto"/>
        <w:jc w:val="both"/>
      </w:pPr>
      <w:r>
        <w:t>Pracovní skupina se bude při přípravě aktualizace řídit harmonogramem schváleným předsednictvem Rady dne 9. února 2018.</w:t>
      </w:r>
      <w:r w:rsidR="00F730E1">
        <w:t xml:space="preserve"> Harmonogram přípravy nové Národní politiky </w:t>
      </w:r>
      <w:proofErr w:type="spellStart"/>
      <w:r w:rsidR="00F730E1">
        <w:t>VaVaI</w:t>
      </w:r>
      <w:proofErr w:type="spellEnd"/>
      <w:r w:rsidR="00F730E1">
        <w:t xml:space="preserve"> pro období po roce 2020 bude navržen pracovní skupinou a předložen Radě ke</w:t>
      </w:r>
      <w:r w:rsidR="00FA36AB">
        <w:t> </w:t>
      </w:r>
      <w:r w:rsidR="00F730E1">
        <w:t>schválení.</w:t>
      </w:r>
    </w:p>
    <w:p w:rsidR="007442AC" w:rsidRDefault="007442AC" w:rsidP="00ED7D78">
      <w:pPr>
        <w:spacing w:after="120" w:line="240" w:lineRule="auto"/>
        <w:jc w:val="both"/>
      </w:pPr>
      <w:r>
        <w:t>V průběhu přípravy aktualizace budou probíhat konzultace se zainteresovanými subjekty, kterými jsou</w:t>
      </w:r>
    </w:p>
    <w:p w:rsidR="007442AC" w:rsidRDefault="007442AC" w:rsidP="007442AC">
      <w:pPr>
        <w:pStyle w:val="Odstavecseseznamem"/>
        <w:numPr>
          <w:ilvl w:val="0"/>
          <w:numId w:val="10"/>
        </w:numPr>
        <w:spacing w:after="120" w:line="240" w:lineRule="auto"/>
        <w:jc w:val="both"/>
      </w:pPr>
      <w:r>
        <w:t>Akademická sféra, tj. reprezentace vysokých škol a Akademie věd České republiky,</w:t>
      </w:r>
    </w:p>
    <w:p w:rsidR="007442AC" w:rsidRDefault="007442AC" w:rsidP="007442AC">
      <w:pPr>
        <w:pStyle w:val="Odstavecseseznamem"/>
        <w:numPr>
          <w:ilvl w:val="0"/>
          <w:numId w:val="10"/>
        </w:numPr>
        <w:spacing w:after="120" w:line="240" w:lineRule="auto"/>
        <w:jc w:val="both"/>
      </w:pPr>
      <w:r>
        <w:t xml:space="preserve">Ostatní poskytovatelé účelové nebo institucionální podpory </w:t>
      </w:r>
      <w:proofErr w:type="spellStart"/>
      <w:r>
        <w:t>VaVaI</w:t>
      </w:r>
      <w:proofErr w:type="spellEnd"/>
      <w:r>
        <w:t>,</w:t>
      </w:r>
    </w:p>
    <w:p w:rsidR="007442AC" w:rsidRDefault="007442AC" w:rsidP="007442AC">
      <w:pPr>
        <w:pStyle w:val="Odstavecseseznamem"/>
        <w:numPr>
          <w:ilvl w:val="0"/>
          <w:numId w:val="10"/>
        </w:numPr>
        <w:spacing w:after="120" w:line="240" w:lineRule="auto"/>
        <w:jc w:val="both"/>
      </w:pPr>
      <w:r>
        <w:t>Zástupci aplikovaného výzkumu a vývoje a podnikatelské sféry.</w:t>
      </w:r>
    </w:p>
    <w:p w:rsidR="00ED7D78" w:rsidRDefault="00ED7D78" w:rsidP="00ED7D78">
      <w:pPr>
        <w:spacing w:after="120" w:line="240" w:lineRule="auto"/>
        <w:jc w:val="both"/>
      </w:pPr>
      <w:r>
        <w:t>První schůzka pracovní skupiny se předpokládá na červen 2018.</w:t>
      </w:r>
    </w:p>
    <w:p w:rsidR="00A97B01" w:rsidRDefault="00C63B7E" w:rsidP="00ED7D7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00"/>
        <w:contextualSpacing/>
        <w:jc w:val="both"/>
      </w:pPr>
      <w:r>
        <w:br w:type="page"/>
      </w:r>
    </w:p>
    <w:p w:rsidR="00A97B01" w:rsidRDefault="00C63B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00"/>
        <w:rPr>
          <w:b/>
        </w:rPr>
      </w:pPr>
      <w:r>
        <w:rPr>
          <w:b/>
        </w:rPr>
        <w:lastRenderedPageBreak/>
        <w:t>Příloha č. 1</w:t>
      </w:r>
    </w:p>
    <w:p w:rsidR="00A97B01" w:rsidRDefault="00C63B7E" w:rsidP="00FA36AB">
      <w:pPr>
        <w:pStyle w:val="Nadpis1"/>
        <w:spacing w:after="120"/>
        <w:ind w:left="431" w:hanging="431"/>
      </w:pPr>
      <w:r>
        <w:t xml:space="preserve">Přehled strategických cílů NP </w:t>
      </w:r>
      <w:proofErr w:type="spellStart"/>
      <w:r>
        <w:t>VaVaI</w:t>
      </w:r>
      <w:proofErr w:type="spellEnd"/>
    </w:p>
    <w:tbl>
      <w:tblPr>
        <w:tblStyle w:val="a0"/>
        <w:tblW w:w="916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52"/>
        <w:gridCol w:w="5517"/>
      </w:tblGrid>
      <w:tr w:rsidR="00A97B01">
        <w:tc>
          <w:tcPr>
            <w:tcW w:w="3652" w:type="dxa"/>
          </w:tcPr>
          <w:p w:rsidR="00A97B01" w:rsidRDefault="00C63B7E">
            <w:pPr>
              <w:spacing w:after="120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Strategický cíl 1: Vytvořit stabilní, efektivní, strategicky řízený a finančně udržitelný systém </w:t>
            </w:r>
            <w:proofErr w:type="spellStart"/>
            <w:r>
              <w:rPr>
                <w:b/>
                <w:sz w:val="18"/>
                <w:szCs w:val="18"/>
              </w:rPr>
              <w:t>VaVaI</w:t>
            </w:r>
            <w:proofErr w:type="spellEnd"/>
          </w:p>
        </w:tc>
        <w:tc>
          <w:tcPr>
            <w:tcW w:w="5517" w:type="dxa"/>
          </w:tcPr>
          <w:p w:rsidR="00A97B01" w:rsidRDefault="00C63B7E" w:rsidP="00FA36A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Zefektivnit strategické řízení politiky </w:t>
            </w:r>
            <w:proofErr w:type="spellStart"/>
            <w:r>
              <w:rPr>
                <w:sz w:val="18"/>
                <w:szCs w:val="18"/>
              </w:rPr>
              <w:t>VaVaI</w:t>
            </w:r>
            <w:proofErr w:type="spellEnd"/>
            <w:r>
              <w:rPr>
                <w:sz w:val="18"/>
                <w:szCs w:val="18"/>
              </w:rPr>
              <w:t xml:space="preserve">, koordinaci v systému řízení </w:t>
            </w:r>
            <w:proofErr w:type="spellStart"/>
            <w:r>
              <w:rPr>
                <w:sz w:val="18"/>
                <w:szCs w:val="18"/>
              </w:rPr>
              <w:t>VaVaI</w:t>
            </w:r>
            <w:proofErr w:type="spellEnd"/>
            <w:r>
              <w:rPr>
                <w:sz w:val="18"/>
                <w:szCs w:val="18"/>
              </w:rPr>
              <w:t xml:space="preserve"> a spolupráci mezi všemi klíčovými aktéry, kteří se podílejí na tvorbě a implementaci politiky </w:t>
            </w:r>
            <w:proofErr w:type="spellStart"/>
            <w:r>
              <w:rPr>
                <w:sz w:val="18"/>
                <w:szCs w:val="18"/>
              </w:rPr>
              <w:t>VaVaI</w:t>
            </w:r>
            <w:proofErr w:type="spellEnd"/>
            <w:r>
              <w:rPr>
                <w:sz w:val="18"/>
                <w:szCs w:val="18"/>
              </w:rPr>
              <w:t>. Strategicky a</w:t>
            </w:r>
            <w:r w:rsidR="00FA36A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 xml:space="preserve">koordinovaně řízený systém </w:t>
            </w:r>
            <w:proofErr w:type="spellStart"/>
            <w:r>
              <w:rPr>
                <w:sz w:val="18"/>
                <w:szCs w:val="18"/>
              </w:rPr>
              <w:t>VaVaI</w:t>
            </w:r>
            <w:proofErr w:type="spellEnd"/>
            <w:r>
              <w:rPr>
                <w:sz w:val="18"/>
                <w:szCs w:val="18"/>
              </w:rPr>
              <w:t xml:space="preserve"> by měl zároveň přispět k</w:t>
            </w:r>
            <w:r w:rsidR="00FA36A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 xml:space="preserve">dlouhodobě udržitelnému financování </w:t>
            </w:r>
            <w:proofErr w:type="spellStart"/>
            <w:r>
              <w:rPr>
                <w:sz w:val="18"/>
                <w:szCs w:val="18"/>
              </w:rPr>
              <w:t>VaVaI</w:t>
            </w:r>
            <w:proofErr w:type="spellEnd"/>
            <w:r>
              <w:rPr>
                <w:sz w:val="18"/>
                <w:szCs w:val="18"/>
              </w:rPr>
              <w:t xml:space="preserve"> v České republice</w:t>
            </w:r>
          </w:p>
        </w:tc>
      </w:tr>
      <w:tr w:rsidR="00A97B01">
        <w:tc>
          <w:tcPr>
            <w:tcW w:w="3652" w:type="dxa"/>
          </w:tcPr>
          <w:p w:rsidR="00A97B01" w:rsidRDefault="00C63B7E" w:rsidP="00FA36AB">
            <w:pPr>
              <w:spacing w:after="12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Strategický cíl 2: Vytvořit stabilní kvalitní sektor výzkumných organizací připravených a otevřených pro</w:t>
            </w:r>
            <w:r w:rsidR="00FA36AB">
              <w:rPr>
                <w:b/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>spolupráci a sdílení znalostí</w:t>
            </w:r>
          </w:p>
        </w:tc>
        <w:tc>
          <w:tcPr>
            <w:tcW w:w="5517" w:type="dxa"/>
          </w:tcPr>
          <w:p w:rsidR="00A97B01" w:rsidRDefault="00C63B7E" w:rsidP="00FA36A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Zvýšit efektivitu a kvalitu výzkumu a vývoje a otevřenost veřejného výzkumného systému pro mezinárodní spolupráci i spolupráci s</w:t>
            </w:r>
            <w:r w:rsidR="00FA36A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aplikačním sektorem.</w:t>
            </w:r>
          </w:p>
        </w:tc>
      </w:tr>
      <w:tr w:rsidR="00A97B01">
        <w:tc>
          <w:tcPr>
            <w:tcW w:w="3652" w:type="dxa"/>
          </w:tcPr>
          <w:p w:rsidR="00A97B01" w:rsidRDefault="00C63B7E">
            <w:pPr>
              <w:spacing w:after="12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Strategický cíl 3: Vytvořit systém vzájemně spolupracujících podniků, výzkumných organizací, veřejné správy a dalších aktérů přinášející nové zdroje a znalosti pro inovace</w:t>
            </w:r>
          </w:p>
        </w:tc>
        <w:tc>
          <w:tcPr>
            <w:tcW w:w="5517" w:type="dxa"/>
          </w:tcPr>
          <w:p w:rsidR="00A97B01" w:rsidRDefault="00C63B7E" w:rsidP="00FA36A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Zvýšit tvorbu poznatků využitelných v inovacích produktů a</w:t>
            </w:r>
            <w:r w:rsidR="00FA36A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 xml:space="preserve"> procesů s vysokou přidanou hodnotou a pro potřeby veřejné správy, které přispějí k růstu konkurenceschopnosti podniků a</w:t>
            </w:r>
            <w:r w:rsidR="00FA36A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socioekonomickému rozvoji České republiky. Dalším cílem je vytvořit účinné vazby mezi veřejným výzkumem a uživateli výsledků výzkumu a vývoje, a stimulovat dlouhodobou a</w:t>
            </w:r>
            <w:r w:rsidR="00FA36A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strategicky orientovanou spolupráci výzkumných organizací se subjekty aplikační sféry.</w:t>
            </w:r>
          </w:p>
        </w:tc>
      </w:tr>
      <w:tr w:rsidR="00A97B01">
        <w:tc>
          <w:tcPr>
            <w:tcW w:w="3652" w:type="dxa"/>
          </w:tcPr>
          <w:p w:rsidR="00A97B01" w:rsidRDefault="00C63B7E" w:rsidP="00FA36AB">
            <w:pPr>
              <w:spacing w:after="12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Strategický cíl 4: Zvýšit inovační výkonnost podniků v České republice posílením výzkumných aktivit a</w:t>
            </w:r>
            <w:r w:rsidR="00FA36AB">
              <w:rPr>
                <w:b/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 xml:space="preserve"> zaváděním nových technologií a</w:t>
            </w:r>
            <w:r w:rsidR="00FA36AB">
              <w:rPr>
                <w:b/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>postupů směřujících k zefektivnění podnikových procesů</w:t>
            </w:r>
          </w:p>
        </w:tc>
        <w:tc>
          <w:tcPr>
            <w:tcW w:w="5517" w:type="dxa"/>
          </w:tcPr>
          <w:p w:rsidR="00A97B01" w:rsidRDefault="00C63B7E" w:rsidP="00FA36A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Posílit výzkumné a inovační aktivity domácích podniků (zejména malých a středních), zvýšit inovační výkonnost podniků a</w:t>
            </w:r>
            <w:r w:rsidR="00FA36A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dosáhnout toho, aby se výzkum a vývoj a jeho výsledky staly nejvýznamnějším zdrojem konkurenceschopnosti podniků a</w:t>
            </w:r>
            <w:r w:rsidR="00FA36A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přispěly k socioekonomickému rozvoji České republiky.</w:t>
            </w:r>
          </w:p>
        </w:tc>
      </w:tr>
      <w:tr w:rsidR="00A97B01">
        <w:tc>
          <w:tcPr>
            <w:tcW w:w="3652" w:type="dxa"/>
          </w:tcPr>
          <w:p w:rsidR="00A97B01" w:rsidRDefault="00C63B7E" w:rsidP="00FA36AB">
            <w:pPr>
              <w:spacing w:after="12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Strategický cíl 5: Strategicky zacílit podporu aplikovaného výzkumu na</w:t>
            </w:r>
            <w:r w:rsidR="00FA36AB">
              <w:rPr>
                <w:b/>
                <w:sz w:val="18"/>
                <w:szCs w:val="18"/>
              </w:rPr>
              <w:t> </w:t>
            </w:r>
            <w:r>
              <w:rPr>
                <w:b/>
                <w:sz w:val="18"/>
                <w:szCs w:val="18"/>
              </w:rPr>
              <w:t>aktuální a potenciální budoucí potřeby podniků a společnosti</w:t>
            </w:r>
          </w:p>
        </w:tc>
        <w:tc>
          <w:tcPr>
            <w:tcW w:w="5517" w:type="dxa"/>
          </w:tcPr>
          <w:p w:rsidR="00A97B01" w:rsidRDefault="00C63B7E" w:rsidP="00FA36A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after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Strategicky zacílit podporu aplikovaného výzkumu včetně aplikovaného výzkumu pro potřeby centrální státní správy do</w:t>
            </w:r>
            <w:r w:rsidR="00FA36A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oblastí s vysokým potenciálem pro využití jeho výsledků v</w:t>
            </w:r>
            <w:r w:rsidR="00FA36A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inovacích, které budou posilovat konkurenceschopnost podniků v České republice a pomohou naplňovat existující či možné budoucí potřeby společnosti.</w:t>
            </w:r>
          </w:p>
        </w:tc>
      </w:tr>
    </w:tbl>
    <w:p w:rsidR="00A97B01" w:rsidRDefault="00C63B7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00"/>
      </w:pPr>
      <w:r>
        <w:br w:type="page"/>
      </w:r>
    </w:p>
    <w:p w:rsidR="00543FB0" w:rsidRDefault="00C63B7E" w:rsidP="004872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00"/>
        <w:contextualSpacing/>
        <w:rPr>
          <w:b/>
        </w:rPr>
      </w:pPr>
      <w:r>
        <w:rPr>
          <w:b/>
        </w:rPr>
        <w:lastRenderedPageBreak/>
        <w:t>Příloha č. 2</w:t>
      </w:r>
    </w:p>
    <w:p w:rsidR="00A97B01" w:rsidRDefault="00C63B7E" w:rsidP="00FA36AB">
      <w:pPr>
        <w:pStyle w:val="Nadpis1"/>
        <w:spacing w:after="120"/>
        <w:ind w:left="431" w:hanging="431"/>
      </w:pPr>
      <w:r>
        <w:t>Porovnání hodnot dílčích indikátorů souhrnného inovačního indexu (Česká republika „CZE“ a Rakousko „AUT“)</w:t>
      </w:r>
    </w:p>
    <w:p w:rsidR="00290537" w:rsidRPr="00290537" w:rsidRDefault="00290537" w:rsidP="00290537">
      <w:r w:rsidRPr="000B3242">
        <w:rPr>
          <w:noProof/>
        </w:rPr>
        <w:drawing>
          <wp:inline distT="0" distB="0" distL="0" distR="0" wp14:anchorId="7977B8DC" wp14:editId="00FBCC15">
            <wp:extent cx="5733415" cy="6295254"/>
            <wp:effectExtent l="0" t="0" r="63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6295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B01" w:rsidRDefault="00A97B01"/>
    <w:p w:rsidR="00A97B01" w:rsidRDefault="00C63B7E">
      <w:r>
        <w:t>Zdroj: vlastní zpracování dle EIS 2017</w:t>
      </w:r>
    </w:p>
    <w:p w:rsidR="004872D4" w:rsidRDefault="004872D4" w:rsidP="00543FB0">
      <w:r>
        <w:br w:type="page"/>
      </w:r>
      <w:r w:rsidR="00543FB0">
        <w:lastRenderedPageBreak/>
        <w:t xml:space="preserve"> </w:t>
      </w:r>
    </w:p>
    <w:p w:rsidR="004872D4" w:rsidRPr="004872D4" w:rsidRDefault="004872D4" w:rsidP="004872D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200"/>
        <w:contextualSpacing/>
        <w:rPr>
          <w:b/>
        </w:rPr>
      </w:pPr>
      <w:r w:rsidRPr="004872D4">
        <w:rPr>
          <w:b/>
        </w:rPr>
        <w:t>Příloha č. 3</w:t>
      </w:r>
    </w:p>
    <w:p w:rsidR="004872D4" w:rsidRDefault="004872D4">
      <w:r w:rsidRPr="004872D4">
        <w:rPr>
          <w:noProof/>
        </w:rPr>
        <w:drawing>
          <wp:inline distT="0" distB="0" distL="0" distR="0" wp14:anchorId="35C130CD" wp14:editId="4F7A0396">
            <wp:extent cx="4572638" cy="3429479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46A3" w:rsidRDefault="004872D4">
      <w:r>
        <w:t xml:space="preserve">Zdroj: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Semester</w:t>
      </w:r>
      <w:proofErr w:type="spellEnd"/>
      <w:r>
        <w:t xml:space="preserve">: </w:t>
      </w:r>
      <w:proofErr w:type="spellStart"/>
      <w:r>
        <w:t>Commission’s</w:t>
      </w:r>
      <w:proofErr w:type="spellEnd"/>
      <w:r>
        <w:t xml:space="preserve"> </w:t>
      </w:r>
      <w:proofErr w:type="spellStart"/>
      <w:r>
        <w:t>Diagnosis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Czech R</w:t>
      </w:r>
      <w:r>
        <w:rPr>
          <w:rFonts w:ascii="Calibri" w:hAnsi="Calibri"/>
        </w:rPr>
        <w:t>&amp;</w:t>
      </w:r>
      <w:r>
        <w:t xml:space="preserve">D </w:t>
      </w:r>
      <w:proofErr w:type="spellStart"/>
      <w:r>
        <w:t>System</w:t>
      </w:r>
      <w:proofErr w:type="spellEnd"/>
      <w:r>
        <w:t>. Leden 2018.</w:t>
      </w:r>
    </w:p>
    <w:sectPr w:rsidR="009946A3">
      <w:footerReference w:type="default" r:id="rId13"/>
      <w:pgSz w:w="11909" w:h="16834"/>
      <w:pgMar w:top="1440" w:right="1440" w:bottom="1440" w:left="1440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2D7" w:rsidRDefault="00D262D7">
      <w:pPr>
        <w:spacing w:line="240" w:lineRule="auto"/>
      </w:pPr>
      <w:r>
        <w:separator/>
      </w:r>
    </w:p>
  </w:endnote>
  <w:endnote w:type="continuationSeparator" w:id="0">
    <w:p w:rsidR="00D262D7" w:rsidRDefault="00D262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B01" w:rsidRDefault="00C63B7E">
    <w:pPr>
      <w:tabs>
        <w:tab w:val="center" w:pos="4536"/>
        <w:tab w:val="right" w:pos="9072"/>
      </w:tabs>
      <w:spacing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F94E45">
      <w:rPr>
        <w:noProof/>
      </w:rPr>
      <w:t>2</w:t>
    </w:r>
    <w:r>
      <w:fldChar w:fldCharType="end"/>
    </w:r>
  </w:p>
  <w:p w:rsidR="00E5433D" w:rsidRDefault="00D262D7">
    <w:pPr>
      <w:tabs>
        <w:tab w:val="center" w:pos="4536"/>
        <w:tab w:val="right" w:pos="9072"/>
      </w:tabs>
      <w:spacing w:line="240" w:lineRule="auto"/>
    </w:pPr>
    <w:r>
      <w:fldChar w:fldCharType="begin"/>
    </w:r>
    <w:r>
      <w:instrText xml:space="preserve"> FILENAME   \* MERGEFORMAT </w:instrText>
    </w:r>
    <w:r>
      <w:fldChar w:fldCharType="separate"/>
    </w:r>
    <w:r w:rsidR="00E90A08">
      <w:rPr>
        <w:noProof/>
      </w:rPr>
      <w:t>Zadání pro aktualizaci NP VaVaI 2018-05-15.docx</w:t>
    </w:r>
    <w:r>
      <w:rPr>
        <w:noProof/>
      </w:rPr>
      <w:fldChar w:fldCharType="end"/>
    </w:r>
  </w:p>
  <w:p w:rsidR="00A97B01" w:rsidRDefault="00C73A83">
    <w:pPr>
      <w:tabs>
        <w:tab w:val="center" w:pos="4536"/>
        <w:tab w:val="right" w:pos="9072"/>
      </w:tabs>
      <w:spacing w:line="240" w:lineRule="auto"/>
    </w:pPr>
    <w:r>
      <w:t>J</w:t>
    </w:r>
    <w:r w:rsidR="00FA36AB">
      <w:t xml:space="preserve">. </w:t>
    </w:r>
    <w:r>
      <w:t>M</w:t>
    </w:r>
    <w:r w:rsidR="00FA36AB">
      <w:t>arek</w:t>
    </w:r>
    <w:r>
      <w:t xml:space="preserve">; </w:t>
    </w:r>
    <w:r w:rsidR="00046692">
      <w:t>21</w:t>
    </w:r>
    <w:r w:rsidR="00F94E45">
      <w:t>.5.2018 11:00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2D7" w:rsidRDefault="00D262D7">
      <w:pPr>
        <w:spacing w:line="240" w:lineRule="auto"/>
      </w:pPr>
      <w:r>
        <w:separator/>
      </w:r>
    </w:p>
  </w:footnote>
  <w:footnote w:type="continuationSeparator" w:id="0">
    <w:p w:rsidR="00D262D7" w:rsidRDefault="00D262D7">
      <w:pPr>
        <w:spacing w:line="240" w:lineRule="auto"/>
      </w:pPr>
      <w:r>
        <w:continuationSeparator/>
      </w:r>
    </w:p>
  </w:footnote>
  <w:footnote w:id="1">
    <w:p w:rsidR="00A97B01" w:rsidRDefault="00C63B7E">
      <w:pPr>
        <w:jc w:val="both"/>
        <w:rPr>
          <w:sz w:val="18"/>
          <w:szCs w:val="18"/>
        </w:rPr>
      </w:pPr>
      <w:r>
        <w:rPr>
          <w:vertAlign w:val="superscript"/>
        </w:rPr>
        <w:footnoteRef/>
      </w:r>
      <w:r>
        <w:rPr>
          <w:sz w:val="18"/>
          <w:szCs w:val="18"/>
        </w:rPr>
        <w:t xml:space="preserve"> Členské státy se na základě svého průměrného skóre výkonnosti vypočteného pomocí složeného ukazatele – souhrnného inovačního indexu – řadí do čtyř různých výkonnostních skupin. Dánsko, Finsko, Německo, Nizozemsko, Švédsko a Spojené království jsou vynikajícími inovátory s jasně vyšší inovační výkonností, než je průměr EU. Belgie, Francie, Irsko, Lucembursko, Rakousko a Slovinsko jsou silnými inovátory s výkonností nad průměrem EU nebo se mu blížícím. Výkonnost České republiky, Estonska, Chorvatska, Itálie, Kypru, Lotyšska, Litvy, Maďarska, Malty, Polska, Portugalska, Řecka, Slovenska a Španělska je nižší než průměr EU. Tyto země jsou mírnými inovátory. Bulharsko a Rumunsko jsou slabými inovátory a jejich inovační výkonnost je značně pod průměrem EU.</w:t>
      </w:r>
    </w:p>
  </w:footnote>
  <w:footnote w:id="2">
    <w:p w:rsidR="00A97B01" w:rsidRDefault="00C63B7E">
      <w:pPr>
        <w:rPr>
          <w:sz w:val="18"/>
          <w:szCs w:val="18"/>
        </w:rPr>
      </w:pPr>
      <w:r>
        <w:rPr>
          <w:vertAlign w:val="superscript"/>
        </w:rPr>
        <w:footnoteRef/>
      </w:r>
      <w:r>
        <w:rPr>
          <w:sz w:val="18"/>
          <w:szCs w:val="18"/>
        </w:rPr>
        <w:t xml:space="preserve"> Zdroj: Vlastní zpracování dle </w:t>
      </w:r>
      <w:proofErr w:type="spellStart"/>
      <w:r>
        <w:rPr>
          <w:sz w:val="18"/>
          <w:szCs w:val="18"/>
        </w:rPr>
        <w:t>European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Innovation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Scoreboard</w:t>
      </w:r>
      <w:proofErr w:type="spellEnd"/>
      <w:r>
        <w:rPr>
          <w:sz w:val="18"/>
          <w:szCs w:val="18"/>
        </w:rPr>
        <w:t xml:space="preserve"> 2017</w:t>
      </w:r>
    </w:p>
  </w:footnote>
  <w:footnote w:id="3">
    <w:p w:rsidR="00A97B01" w:rsidRDefault="00C63B7E">
      <w:pPr>
        <w:rPr>
          <w:sz w:val="18"/>
          <w:szCs w:val="18"/>
        </w:rPr>
      </w:pPr>
      <w:r>
        <w:rPr>
          <w:vertAlign w:val="superscript"/>
        </w:rPr>
        <w:footnoteRef/>
      </w:r>
      <w:r>
        <w:rPr>
          <w:sz w:val="18"/>
          <w:szCs w:val="18"/>
        </w:rPr>
        <w:t xml:space="preserve"> Zdroj: </w:t>
      </w:r>
      <w:proofErr w:type="spellStart"/>
      <w:r>
        <w:rPr>
          <w:sz w:val="18"/>
          <w:szCs w:val="18"/>
        </w:rPr>
        <w:t>European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Innovation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Scoreboard</w:t>
      </w:r>
      <w:proofErr w:type="spellEnd"/>
      <w:r>
        <w:rPr>
          <w:sz w:val="18"/>
          <w:szCs w:val="18"/>
        </w:rPr>
        <w:t xml:space="preserve"> 2017</w:t>
      </w:r>
    </w:p>
  </w:footnote>
  <w:footnote w:id="4">
    <w:p w:rsidR="00C63B7E" w:rsidRPr="00C63B7E" w:rsidRDefault="00C63B7E">
      <w:pPr>
        <w:pStyle w:val="Textpoznpodarou"/>
        <w:rPr>
          <w:sz w:val="18"/>
          <w:szCs w:val="18"/>
        </w:rPr>
      </w:pPr>
      <w:r w:rsidRPr="00C63B7E">
        <w:rPr>
          <w:rStyle w:val="Znakapoznpodarou"/>
          <w:sz w:val="18"/>
          <w:szCs w:val="18"/>
        </w:rPr>
        <w:footnoteRef/>
      </w:r>
      <w:r w:rsidRPr="00C63B7E">
        <w:rPr>
          <w:sz w:val="18"/>
          <w:szCs w:val="18"/>
        </w:rPr>
        <w:t xml:space="preserve"> </w:t>
      </w:r>
      <w:proofErr w:type="spellStart"/>
      <w:r w:rsidRPr="00C63B7E">
        <w:rPr>
          <w:sz w:val="18"/>
          <w:szCs w:val="18"/>
        </w:rPr>
        <w:t>European</w:t>
      </w:r>
      <w:proofErr w:type="spellEnd"/>
      <w:r w:rsidRPr="00C63B7E">
        <w:rPr>
          <w:sz w:val="18"/>
          <w:szCs w:val="18"/>
        </w:rPr>
        <w:t xml:space="preserve"> </w:t>
      </w:r>
      <w:proofErr w:type="spellStart"/>
      <w:r w:rsidRPr="00C63B7E">
        <w:rPr>
          <w:sz w:val="18"/>
          <w:szCs w:val="18"/>
        </w:rPr>
        <w:t>Semester</w:t>
      </w:r>
      <w:proofErr w:type="spellEnd"/>
      <w:r w:rsidRPr="00C63B7E">
        <w:rPr>
          <w:sz w:val="18"/>
          <w:szCs w:val="18"/>
        </w:rPr>
        <w:t xml:space="preserve">: </w:t>
      </w:r>
      <w:proofErr w:type="spellStart"/>
      <w:r w:rsidRPr="00C63B7E">
        <w:rPr>
          <w:sz w:val="18"/>
          <w:szCs w:val="18"/>
        </w:rPr>
        <w:t>Commission’s</w:t>
      </w:r>
      <w:proofErr w:type="spellEnd"/>
      <w:r w:rsidRPr="00C63B7E">
        <w:rPr>
          <w:sz w:val="18"/>
          <w:szCs w:val="18"/>
        </w:rPr>
        <w:t xml:space="preserve"> </w:t>
      </w:r>
      <w:proofErr w:type="spellStart"/>
      <w:r w:rsidRPr="00C63B7E">
        <w:rPr>
          <w:sz w:val="18"/>
          <w:szCs w:val="18"/>
        </w:rPr>
        <w:t>Diagnosis</w:t>
      </w:r>
      <w:proofErr w:type="spellEnd"/>
      <w:r w:rsidRPr="00C63B7E">
        <w:rPr>
          <w:sz w:val="18"/>
          <w:szCs w:val="18"/>
        </w:rPr>
        <w:t xml:space="preserve"> </w:t>
      </w:r>
      <w:proofErr w:type="spellStart"/>
      <w:r w:rsidRPr="00C63B7E">
        <w:rPr>
          <w:sz w:val="18"/>
          <w:szCs w:val="18"/>
        </w:rPr>
        <w:t>of</w:t>
      </w:r>
      <w:proofErr w:type="spellEnd"/>
      <w:r w:rsidRPr="00C63B7E">
        <w:rPr>
          <w:sz w:val="18"/>
          <w:szCs w:val="18"/>
        </w:rPr>
        <w:t xml:space="preserve"> </w:t>
      </w:r>
      <w:proofErr w:type="spellStart"/>
      <w:r w:rsidRPr="00C63B7E">
        <w:rPr>
          <w:sz w:val="18"/>
          <w:szCs w:val="18"/>
        </w:rPr>
        <w:t>the</w:t>
      </w:r>
      <w:proofErr w:type="spellEnd"/>
      <w:r w:rsidRPr="00C63B7E">
        <w:rPr>
          <w:sz w:val="18"/>
          <w:szCs w:val="18"/>
        </w:rPr>
        <w:t xml:space="preserve"> Czech R</w:t>
      </w:r>
      <w:r w:rsidRPr="00C63B7E">
        <w:rPr>
          <w:rFonts w:ascii="Calibri" w:hAnsi="Calibri"/>
          <w:sz w:val="18"/>
          <w:szCs w:val="18"/>
        </w:rPr>
        <w:t>&amp;</w:t>
      </w:r>
      <w:r w:rsidRPr="00C63B7E">
        <w:rPr>
          <w:sz w:val="18"/>
          <w:szCs w:val="18"/>
        </w:rPr>
        <w:t xml:space="preserve">D </w:t>
      </w:r>
      <w:proofErr w:type="spellStart"/>
      <w:r w:rsidRPr="00C63B7E">
        <w:rPr>
          <w:sz w:val="18"/>
          <w:szCs w:val="18"/>
        </w:rPr>
        <w:t>System</w:t>
      </w:r>
      <w:proofErr w:type="spellEnd"/>
      <w:r w:rsidRPr="00C63B7E">
        <w:rPr>
          <w:sz w:val="18"/>
          <w:szCs w:val="18"/>
        </w:rPr>
        <w:t>. Leden 2018.</w:t>
      </w:r>
    </w:p>
  </w:footnote>
  <w:footnote w:id="5">
    <w:p w:rsidR="004872D4" w:rsidRPr="00C63B7E" w:rsidRDefault="004872D4">
      <w:pPr>
        <w:pStyle w:val="Textpoznpodarou"/>
        <w:rPr>
          <w:sz w:val="18"/>
          <w:szCs w:val="18"/>
        </w:rPr>
      </w:pPr>
      <w:r w:rsidRPr="00C63B7E">
        <w:rPr>
          <w:rStyle w:val="Znakapoznpodarou"/>
          <w:sz w:val="18"/>
          <w:szCs w:val="18"/>
        </w:rPr>
        <w:footnoteRef/>
      </w:r>
      <w:r w:rsidRPr="00C63B7E">
        <w:rPr>
          <w:sz w:val="18"/>
          <w:szCs w:val="18"/>
        </w:rPr>
        <w:t xml:space="preserve"> Viz příloha č. 3.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A7112"/>
    <w:multiLevelType w:val="multilevel"/>
    <w:tmpl w:val="FCF85C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12462CBE"/>
    <w:multiLevelType w:val="multilevel"/>
    <w:tmpl w:val="955680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9B4E6A"/>
    <w:multiLevelType w:val="hybridMultilevel"/>
    <w:tmpl w:val="DF3699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966A03"/>
    <w:multiLevelType w:val="hybridMultilevel"/>
    <w:tmpl w:val="2E4807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9F2C4D"/>
    <w:multiLevelType w:val="multilevel"/>
    <w:tmpl w:val="EFC622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56084E"/>
    <w:multiLevelType w:val="multilevel"/>
    <w:tmpl w:val="955680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8F3B6C"/>
    <w:multiLevelType w:val="hybridMultilevel"/>
    <w:tmpl w:val="7E3E6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4C5A92"/>
    <w:multiLevelType w:val="multilevel"/>
    <w:tmpl w:val="C312386A"/>
    <w:lvl w:ilvl="0">
      <w:start w:val="1"/>
      <w:numFmt w:val="bullet"/>
      <w:lvlText w:val="-"/>
      <w:lvlJc w:val="left"/>
      <w:pPr>
        <w:ind w:left="405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2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4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6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8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0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2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4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65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62495B73"/>
    <w:multiLevelType w:val="multilevel"/>
    <w:tmpl w:val="26A61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846917"/>
    <w:multiLevelType w:val="multilevel"/>
    <w:tmpl w:val="EFC622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136020"/>
    <w:multiLevelType w:val="multilevel"/>
    <w:tmpl w:val="DB78217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9"/>
  </w:num>
  <w:num w:numId="5">
    <w:abstractNumId w:val="2"/>
  </w:num>
  <w:num w:numId="6">
    <w:abstractNumId w:val="0"/>
  </w:num>
  <w:num w:numId="7">
    <w:abstractNumId w:val="1"/>
  </w:num>
  <w:num w:numId="8">
    <w:abstractNumId w:val="8"/>
  </w:num>
  <w:num w:numId="9">
    <w:abstractNumId w:val="6"/>
  </w:num>
  <w:num w:numId="10">
    <w:abstractNumId w:val="3"/>
  </w:num>
  <w:num w:numId="11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Štícha Martin">
    <w15:presenceInfo w15:providerId="None" w15:userId="Štícha Martin"/>
  </w15:person>
  <w15:person w15:author="Karel Kouřil">
    <w15:presenceInfo w15:providerId="Windows Live" w15:userId="6fe50a9f416bf9a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B01"/>
    <w:rsid w:val="00016D08"/>
    <w:rsid w:val="000276CF"/>
    <w:rsid w:val="00046692"/>
    <w:rsid w:val="00066F1D"/>
    <w:rsid w:val="000C0CC3"/>
    <w:rsid w:val="00107305"/>
    <w:rsid w:val="00114662"/>
    <w:rsid w:val="00187D7D"/>
    <w:rsid w:val="001A189E"/>
    <w:rsid w:val="002405F5"/>
    <w:rsid w:val="00290537"/>
    <w:rsid w:val="00325923"/>
    <w:rsid w:val="00370E6A"/>
    <w:rsid w:val="0037782D"/>
    <w:rsid w:val="00430528"/>
    <w:rsid w:val="004872D4"/>
    <w:rsid w:val="004A0973"/>
    <w:rsid w:val="004D1E9F"/>
    <w:rsid w:val="004D2A08"/>
    <w:rsid w:val="00512F22"/>
    <w:rsid w:val="00543FB0"/>
    <w:rsid w:val="005536D0"/>
    <w:rsid w:val="00584D21"/>
    <w:rsid w:val="006A3F02"/>
    <w:rsid w:val="006C2A10"/>
    <w:rsid w:val="007164EF"/>
    <w:rsid w:val="007442AC"/>
    <w:rsid w:val="0076329A"/>
    <w:rsid w:val="0078567C"/>
    <w:rsid w:val="00794A43"/>
    <w:rsid w:val="00861532"/>
    <w:rsid w:val="008F58C3"/>
    <w:rsid w:val="009946A3"/>
    <w:rsid w:val="00996354"/>
    <w:rsid w:val="009A1573"/>
    <w:rsid w:val="009C0C70"/>
    <w:rsid w:val="00A6309E"/>
    <w:rsid w:val="00A87392"/>
    <w:rsid w:val="00A97B01"/>
    <w:rsid w:val="00AF36D8"/>
    <w:rsid w:val="00BD0848"/>
    <w:rsid w:val="00C4371A"/>
    <w:rsid w:val="00C63B7E"/>
    <w:rsid w:val="00C73A83"/>
    <w:rsid w:val="00CA2BB9"/>
    <w:rsid w:val="00CB4808"/>
    <w:rsid w:val="00CB76D2"/>
    <w:rsid w:val="00D262D7"/>
    <w:rsid w:val="00D61F12"/>
    <w:rsid w:val="00DD48BA"/>
    <w:rsid w:val="00E5433D"/>
    <w:rsid w:val="00E55DE7"/>
    <w:rsid w:val="00E72C77"/>
    <w:rsid w:val="00E842EB"/>
    <w:rsid w:val="00E90A08"/>
    <w:rsid w:val="00EB0E94"/>
    <w:rsid w:val="00ED7D78"/>
    <w:rsid w:val="00F6667B"/>
    <w:rsid w:val="00F66D8B"/>
    <w:rsid w:val="00F730E1"/>
    <w:rsid w:val="00F94E45"/>
    <w:rsid w:val="00FA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/>
      <w:ind w:left="432" w:hanging="432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dpis2">
    <w:name w:val="heading 2"/>
    <w:basedOn w:val="Normln"/>
    <w:next w:val="Normln"/>
    <w:pPr>
      <w:keepNext/>
      <w:keepLines/>
      <w:spacing w:before="200"/>
      <w:ind w:left="576" w:hanging="576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dpis3">
    <w:name w:val="heading 3"/>
    <w:basedOn w:val="Normln"/>
    <w:next w:val="Normln"/>
    <w:pPr>
      <w:keepNext/>
      <w:keepLines/>
      <w:spacing w:before="200"/>
      <w:ind w:left="720" w:hanging="720"/>
      <w:outlineLvl w:val="2"/>
    </w:pPr>
    <w:rPr>
      <w:rFonts w:ascii="Cambria" w:eastAsia="Cambria" w:hAnsi="Cambria" w:cs="Cambria"/>
      <w:b/>
      <w:color w:val="4F81BD"/>
    </w:rPr>
  </w:style>
  <w:style w:type="paragraph" w:styleId="Nadpis4">
    <w:name w:val="heading 4"/>
    <w:basedOn w:val="Normln"/>
    <w:next w:val="Normln"/>
    <w:pPr>
      <w:keepNext/>
      <w:keepLines/>
      <w:spacing w:before="200"/>
      <w:ind w:left="864" w:hanging="864"/>
      <w:outlineLvl w:val="3"/>
    </w:pPr>
    <w:rPr>
      <w:rFonts w:ascii="Cambria" w:eastAsia="Cambria" w:hAnsi="Cambria" w:cs="Cambria"/>
      <w:b/>
      <w:i/>
      <w:color w:val="4F81BD"/>
    </w:rPr>
  </w:style>
  <w:style w:type="paragraph" w:styleId="Nadpis5">
    <w:name w:val="heading 5"/>
    <w:basedOn w:val="Normln"/>
    <w:next w:val="Normln"/>
    <w:pPr>
      <w:keepNext/>
      <w:keepLines/>
      <w:spacing w:before="200"/>
      <w:ind w:left="1008" w:hanging="1008"/>
      <w:outlineLvl w:val="4"/>
    </w:pPr>
    <w:rPr>
      <w:rFonts w:ascii="Cambria" w:eastAsia="Cambria" w:hAnsi="Cambria" w:cs="Cambria"/>
      <w:color w:val="243F61"/>
    </w:rPr>
  </w:style>
  <w:style w:type="paragraph" w:styleId="Nadpis6">
    <w:name w:val="heading 6"/>
    <w:basedOn w:val="Normln"/>
    <w:next w:val="Normln"/>
    <w:pPr>
      <w:keepNext/>
      <w:keepLines/>
      <w:spacing w:before="200"/>
      <w:ind w:left="1152" w:hanging="1152"/>
      <w:outlineLvl w:val="5"/>
    </w:pPr>
    <w:rPr>
      <w:rFonts w:ascii="Cambria" w:eastAsia="Cambria" w:hAnsi="Cambria" w:cs="Cambria"/>
      <w:i/>
      <w:color w:val="243F6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Cambria" w:hAnsi="Cambria" w:cs="Cambria"/>
      <w:color w:val="17365D"/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872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72D4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72D4"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72D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872D4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C2A10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7164E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73A8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73A83"/>
  </w:style>
  <w:style w:type="paragraph" w:styleId="Zpat">
    <w:name w:val="footer"/>
    <w:basedOn w:val="Normln"/>
    <w:link w:val="ZpatChar"/>
    <w:uiPriority w:val="99"/>
    <w:unhideWhenUsed/>
    <w:rsid w:val="00C73A8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3A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/>
      <w:ind w:left="432" w:hanging="432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dpis2">
    <w:name w:val="heading 2"/>
    <w:basedOn w:val="Normln"/>
    <w:next w:val="Normln"/>
    <w:pPr>
      <w:keepNext/>
      <w:keepLines/>
      <w:spacing w:before="200"/>
      <w:ind w:left="576" w:hanging="576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dpis3">
    <w:name w:val="heading 3"/>
    <w:basedOn w:val="Normln"/>
    <w:next w:val="Normln"/>
    <w:pPr>
      <w:keepNext/>
      <w:keepLines/>
      <w:spacing w:before="200"/>
      <w:ind w:left="720" w:hanging="720"/>
      <w:outlineLvl w:val="2"/>
    </w:pPr>
    <w:rPr>
      <w:rFonts w:ascii="Cambria" w:eastAsia="Cambria" w:hAnsi="Cambria" w:cs="Cambria"/>
      <w:b/>
      <w:color w:val="4F81BD"/>
    </w:rPr>
  </w:style>
  <w:style w:type="paragraph" w:styleId="Nadpis4">
    <w:name w:val="heading 4"/>
    <w:basedOn w:val="Normln"/>
    <w:next w:val="Normln"/>
    <w:pPr>
      <w:keepNext/>
      <w:keepLines/>
      <w:spacing w:before="200"/>
      <w:ind w:left="864" w:hanging="864"/>
      <w:outlineLvl w:val="3"/>
    </w:pPr>
    <w:rPr>
      <w:rFonts w:ascii="Cambria" w:eastAsia="Cambria" w:hAnsi="Cambria" w:cs="Cambria"/>
      <w:b/>
      <w:i/>
      <w:color w:val="4F81BD"/>
    </w:rPr>
  </w:style>
  <w:style w:type="paragraph" w:styleId="Nadpis5">
    <w:name w:val="heading 5"/>
    <w:basedOn w:val="Normln"/>
    <w:next w:val="Normln"/>
    <w:pPr>
      <w:keepNext/>
      <w:keepLines/>
      <w:spacing w:before="200"/>
      <w:ind w:left="1008" w:hanging="1008"/>
      <w:outlineLvl w:val="4"/>
    </w:pPr>
    <w:rPr>
      <w:rFonts w:ascii="Cambria" w:eastAsia="Cambria" w:hAnsi="Cambria" w:cs="Cambria"/>
      <w:color w:val="243F61"/>
    </w:rPr>
  </w:style>
  <w:style w:type="paragraph" w:styleId="Nadpis6">
    <w:name w:val="heading 6"/>
    <w:basedOn w:val="Normln"/>
    <w:next w:val="Normln"/>
    <w:pPr>
      <w:keepNext/>
      <w:keepLines/>
      <w:spacing w:before="200"/>
      <w:ind w:left="1152" w:hanging="1152"/>
      <w:outlineLvl w:val="5"/>
    </w:pPr>
    <w:rPr>
      <w:rFonts w:ascii="Cambria" w:eastAsia="Cambria" w:hAnsi="Cambria" w:cs="Cambria"/>
      <w:i/>
      <w:color w:val="243F6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Cambria" w:hAnsi="Cambria" w:cs="Cambria"/>
      <w:color w:val="17365D"/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872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72D4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72D4"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72D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872D4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C2A10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7164E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73A8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73A83"/>
  </w:style>
  <w:style w:type="paragraph" w:styleId="Zpat">
    <w:name w:val="footer"/>
    <w:basedOn w:val="Normln"/>
    <w:link w:val="ZpatChar"/>
    <w:uiPriority w:val="99"/>
    <w:unhideWhenUsed/>
    <w:rsid w:val="00C73A8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3A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5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A3863-4915-47FD-8536-CA1E17DA3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1609</Words>
  <Characters>9498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kkouril</dc:creator>
  <cp:lastModifiedBy>Novotná Marie</cp:lastModifiedBy>
  <cp:revision>5</cp:revision>
  <cp:lastPrinted>2018-05-17T06:38:00Z</cp:lastPrinted>
  <dcterms:created xsi:type="dcterms:W3CDTF">2018-05-18T08:50:00Z</dcterms:created>
  <dcterms:modified xsi:type="dcterms:W3CDTF">2018-05-21T09:12:00Z</dcterms:modified>
</cp:coreProperties>
</file>